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DDB" w:rsidRPr="00DE5261" w:rsidRDefault="007D5DDB" w:rsidP="007D5DDB">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sidRPr="00DE5261">
        <w:rPr>
          <w:lang w:eastAsia="zh-CN"/>
        </w:rPr>
        <w:t xml:space="preserve">3GPP TSG RAN WG2 Meeting #89bis      </w:t>
      </w:r>
      <w:r w:rsidRPr="00DE5261">
        <w:rPr>
          <w:lang w:eastAsia="zh-CN"/>
        </w:rPr>
        <w:tab/>
        <w:t xml:space="preserve">                                               R</w:t>
      </w:r>
      <w:r w:rsidR="00B344D6">
        <w:rPr>
          <w:lang w:eastAsia="zh-CN"/>
        </w:rPr>
        <w:t>2</w:t>
      </w:r>
      <w:r w:rsidRPr="00DE5261">
        <w:rPr>
          <w:lang w:eastAsia="zh-CN"/>
        </w:rPr>
        <w:t>-15</w:t>
      </w:r>
      <w:r>
        <w:rPr>
          <w:lang w:eastAsia="zh-CN"/>
        </w:rPr>
        <w:t>1445</w:t>
      </w:r>
    </w:p>
    <w:p w:rsidR="007D5DDB" w:rsidRPr="00DE5261" w:rsidRDefault="007D5DDB" w:rsidP="007D5DDB">
      <w:pPr>
        <w:pStyle w:val="Title"/>
        <w:pBdr>
          <w:top w:val="single" w:sz="12" w:space="5" w:color="auto"/>
          <w:bottom w:val="single" w:sz="12" w:space="7" w:color="auto"/>
        </w:pBdr>
        <w:tabs>
          <w:tab w:val="clear" w:pos="3780"/>
          <w:tab w:val="left" w:pos="5850"/>
        </w:tabs>
        <w:spacing w:after="0" w:line="240" w:lineRule="exact"/>
        <w:jc w:val="both"/>
      </w:pPr>
      <w:r w:rsidRPr="00DE5261">
        <w:t>Bratislava, Slovakia, 20-24 April 2015</w:t>
      </w:r>
    </w:p>
    <w:p w:rsidR="007D5DDB" w:rsidRPr="00DE5261" w:rsidRDefault="007D5DDB" w:rsidP="007D5DDB">
      <w:pPr>
        <w:pStyle w:val="Title"/>
        <w:pBdr>
          <w:top w:val="single" w:sz="12" w:space="5" w:color="auto"/>
          <w:bottom w:val="single" w:sz="12" w:space="7" w:color="auto"/>
        </w:pBdr>
        <w:tabs>
          <w:tab w:val="clear" w:pos="3780"/>
          <w:tab w:val="left" w:pos="5850"/>
        </w:tabs>
        <w:spacing w:after="0" w:line="240" w:lineRule="exact"/>
        <w:jc w:val="both"/>
      </w:pPr>
    </w:p>
    <w:p w:rsidR="007D5DDB" w:rsidRPr="00DE5261" w:rsidRDefault="007D5DDB" w:rsidP="007D5DDB">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DE5261">
        <w:t>Agenda Item:</w:t>
      </w:r>
      <w:r w:rsidRPr="00DE5261">
        <w:tab/>
      </w:r>
      <w:r>
        <w:t>7.1.2</w:t>
      </w:r>
    </w:p>
    <w:p w:rsidR="007D5DDB" w:rsidRPr="00DE5261" w:rsidRDefault="007D5DDB" w:rsidP="007D5DDB">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DE5261">
        <w:t xml:space="preserve">Source: </w:t>
      </w:r>
      <w:r w:rsidRPr="00DE5261">
        <w:tab/>
      </w:r>
      <w:r>
        <w:rPr>
          <w:lang w:eastAsia="zh-CN"/>
        </w:rPr>
        <w:t>Alcatel-Lucent</w:t>
      </w:r>
      <w:r>
        <w:rPr>
          <w:rFonts w:hint="eastAsia"/>
          <w:lang w:eastAsia="zh-CN"/>
        </w:rPr>
        <w:t>,</w:t>
      </w:r>
      <w:r>
        <w:t xml:space="preserve"> Alcatel</w:t>
      </w:r>
      <w:r>
        <w:rPr>
          <w:lang w:eastAsia="zh-CN"/>
        </w:rPr>
        <w:t>-Lucent Shanghai Bell</w:t>
      </w:r>
    </w:p>
    <w:p w:rsidR="007D5DDB" w:rsidRPr="00546C42" w:rsidRDefault="007D5DDB" w:rsidP="007D5DDB">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rsidRPr="00DE5261">
        <w:t xml:space="preserve">Title: </w:t>
      </w:r>
      <w:r w:rsidRPr="00DE5261">
        <w:tab/>
      </w:r>
      <w:r>
        <w:t>Discussion on LAA Measurements</w:t>
      </w:r>
    </w:p>
    <w:p w:rsidR="007D5DDB" w:rsidRPr="00DE5261" w:rsidRDefault="007D5DDB" w:rsidP="007D5DDB">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rsidRPr="00DE5261">
        <w:t xml:space="preserve">Document for: </w:t>
      </w:r>
      <w:r w:rsidRPr="00DE5261">
        <w:tab/>
        <w:t>Discussion</w:t>
      </w:r>
      <w:r w:rsidRPr="00DE5261">
        <w:rPr>
          <w:lang w:eastAsia="zh-CN"/>
        </w:rPr>
        <w:t>/Decision</w:t>
      </w:r>
    </w:p>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637237" w:rsidRDefault="00637237" w:rsidP="00637237">
      <w:pPr>
        <w:pStyle w:val="Heading1"/>
        <w:numPr>
          <w:ilvl w:val="0"/>
          <w:numId w:val="21"/>
        </w:numPr>
        <w:jc w:val="both"/>
      </w:pPr>
      <w:r>
        <w:t>Introduction</w:t>
      </w:r>
    </w:p>
    <w:p w:rsidR="00A527D2" w:rsidRDefault="00637237" w:rsidP="0015459B">
      <w:pPr>
        <w:rPr>
          <w:lang w:eastAsia="zh-CN"/>
        </w:rPr>
      </w:pPr>
      <w:r>
        <w:rPr>
          <w:lang w:eastAsia="zh-CN"/>
        </w:rPr>
        <w:t>In RAN</w:t>
      </w:r>
      <w:r w:rsidR="00A527D2">
        <w:rPr>
          <w:lang w:eastAsia="zh-CN"/>
        </w:rPr>
        <w:t>2#89</w:t>
      </w:r>
      <w:r>
        <w:rPr>
          <w:lang w:eastAsia="zh-CN"/>
        </w:rPr>
        <w:t xml:space="preserve">, </w:t>
      </w:r>
      <w:r w:rsidR="00A527D2">
        <w:rPr>
          <w:lang w:eastAsia="zh-CN"/>
        </w:rPr>
        <w:t xml:space="preserve">initial discussion on </w:t>
      </w:r>
      <w:r>
        <w:rPr>
          <w:lang w:eastAsia="zh-CN"/>
        </w:rPr>
        <w:t>licensed-assisted access (LAA) using LTE on unlicensed spectrum</w:t>
      </w:r>
      <w:r w:rsidR="00A527D2">
        <w:rPr>
          <w:lang w:eastAsia="zh-CN"/>
        </w:rPr>
        <w:t xml:space="preserve"> </w:t>
      </w:r>
      <w:r w:rsidR="00BB25CC">
        <w:rPr>
          <w:lang w:eastAsia="zh-CN"/>
        </w:rPr>
        <w:t>was</w:t>
      </w:r>
      <w:r>
        <w:rPr>
          <w:lang w:eastAsia="zh-CN"/>
        </w:rPr>
        <w:t xml:space="preserve"> </w:t>
      </w:r>
      <w:r w:rsidR="00A527D2">
        <w:rPr>
          <w:lang w:eastAsia="zh-CN"/>
        </w:rPr>
        <w:t>started. The following agreements and working assumptions were made in assisting the discussion on procedure and protocol impacts from RAN2 perspectives.</w:t>
      </w:r>
    </w:p>
    <w:p w:rsidR="00A527D2" w:rsidRDefault="00A527D2" w:rsidP="00A527D2">
      <w:pPr>
        <w:pStyle w:val="Doc-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9004"/>
      </w:tblGrid>
      <w:tr w:rsidR="00A527D2" w:rsidTr="000C5156">
        <w:tc>
          <w:tcPr>
            <w:tcW w:w="9004" w:type="dxa"/>
            <w:shd w:val="clear" w:color="auto" w:fill="auto"/>
          </w:tcPr>
          <w:p w:rsidR="00A527D2" w:rsidRDefault="00A527D2" w:rsidP="00A527D2">
            <w:pPr>
              <w:pStyle w:val="Doc-text2"/>
              <w:tabs>
                <w:tab w:val="left" w:pos="340"/>
              </w:tabs>
              <w:ind w:left="0" w:firstLine="0"/>
            </w:pPr>
            <w:r>
              <w:tab/>
            </w:r>
          </w:p>
          <w:p w:rsidR="00A527D2" w:rsidRDefault="00A527D2" w:rsidP="00A527D2">
            <w:pPr>
              <w:pStyle w:val="Doc-text2"/>
              <w:tabs>
                <w:tab w:val="left" w:pos="340"/>
              </w:tabs>
              <w:ind w:left="340" w:hanging="340"/>
            </w:pPr>
            <w:r>
              <w:t>1    RAN2 will not focus on Dual Connectivity in the scope of the study. That means we focus on licensed carrier on the PCell and LAA carrier on (MCG) SCell.</w:t>
            </w:r>
          </w:p>
          <w:p w:rsidR="00A527D2" w:rsidRDefault="00A527D2" w:rsidP="00A527D2">
            <w:pPr>
              <w:pStyle w:val="Doc-text2"/>
              <w:tabs>
                <w:tab w:val="left" w:pos="340"/>
              </w:tabs>
              <w:ind w:left="340" w:hanging="340"/>
            </w:pPr>
            <w:r>
              <w:t xml:space="preserve">2    The existing IDC solutions can be used to support Wi-Fi background scanning (e.g. by means of IDC TDM; Autonomous Denial). </w:t>
            </w:r>
          </w:p>
          <w:p w:rsidR="00A527D2" w:rsidRDefault="00A527D2" w:rsidP="000C5156">
            <w:pPr>
              <w:pStyle w:val="Doc-text2"/>
              <w:tabs>
                <w:tab w:val="left" w:pos="340"/>
              </w:tabs>
              <w:ind w:left="340" w:hanging="340"/>
            </w:pPr>
            <w:r>
              <w:t>3    The existing IDC solution can also be used to indicate interference problems for cases where the UE (intends to) uses WiFi on the same or adjacent carrier to the LAA carrier.</w:t>
            </w:r>
          </w:p>
          <w:p w:rsidR="00A527D2" w:rsidRDefault="00A527D2" w:rsidP="008944BE">
            <w:pPr>
              <w:pStyle w:val="Doc-text2"/>
              <w:tabs>
                <w:tab w:val="left" w:pos="340"/>
              </w:tabs>
              <w:ind w:left="340" w:hanging="340"/>
            </w:pPr>
            <w:r>
              <w:t>4    As a baseline use existing CA functionalities for LAA</w:t>
            </w:r>
          </w:p>
          <w:p w:rsidR="00A527D2" w:rsidRDefault="00A527D2" w:rsidP="008944BE">
            <w:pPr>
              <w:pStyle w:val="Doc-text2"/>
              <w:tabs>
                <w:tab w:val="left" w:pos="340"/>
              </w:tabs>
              <w:ind w:left="340" w:hanging="340"/>
            </w:pPr>
            <w:r>
              <w:t>5</w:t>
            </w:r>
            <w:r>
              <w:tab/>
              <w:t xml:space="preserve">Based on the additional complexity, RAN2 suggests that Downlink HARQ processes are not moved to another carrier. Using e.g. RLC retransmissions would be simpler from RAN2 point of view (no specification impact). </w:t>
            </w:r>
          </w:p>
          <w:p w:rsidR="00A527D2" w:rsidRDefault="00A527D2" w:rsidP="008944BE">
            <w:pPr>
              <w:pStyle w:val="Doc-text2"/>
              <w:tabs>
                <w:tab w:val="left" w:pos="340"/>
              </w:tabs>
              <w:ind w:left="340" w:hanging="340"/>
            </w:pPr>
            <w:r>
              <w:t>6</w:t>
            </w:r>
            <w:r>
              <w:tab/>
              <w:t>With DRS as starting point, RAN2 considers the RRM measurement and reporting would be feasible for LAA. Further input from RAN1 is required (e.g. whether RSRQ is supported; how DRS differs from Rel-12; …)</w:t>
            </w:r>
          </w:p>
          <w:p w:rsidR="00A527D2" w:rsidRDefault="00A527D2" w:rsidP="008944BE">
            <w:pPr>
              <w:pStyle w:val="Doc-text2"/>
              <w:tabs>
                <w:tab w:val="left" w:pos="340"/>
              </w:tabs>
              <w:ind w:left="340" w:hanging="340"/>
            </w:pPr>
            <w:r>
              <w:t>7</w:t>
            </w:r>
            <w:r>
              <w:tab/>
              <w:t xml:space="preserve">Common DRX is used for LAA if it does not result in a need for very short DRX cycles/very long Active times. </w:t>
            </w:r>
          </w:p>
          <w:p w:rsidR="00A527D2" w:rsidRDefault="00A527D2" w:rsidP="008944BE">
            <w:pPr>
              <w:pStyle w:val="Doc-text2"/>
              <w:tabs>
                <w:tab w:val="left" w:pos="340"/>
              </w:tabs>
              <w:ind w:left="340" w:hanging="340"/>
            </w:pPr>
            <w:r>
              <w:t>8</w:t>
            </w:r>
            <w:r>
              <w:tab/>
              <w:t xml:space="preserve">For DL the eNB can decide which data of which radio bearer to map to which carrier(s) (licensed/unlicensed). No impact on RAN2 specifications. </w:t>
            </w:r>
          </w:p>
          <w:p w:rsidR="00A527D2" w:rsidRDefault="00A527D2" w:rsidP="00A527D2">
            <w:pPr>
              <w:pStyle w:val="Doc-text2"/>
              <w:ind w:left="0" w:firstLine="0"/>
            </w:pPr>
            <w:r>
              <w:t xml:space="preserve">9    LBT for UL data transmission will impact MAC. LBT for DL will not impact data reception in MAC. </w:t>
            </w:r>
          </w:p>
          <w:p w:rsidR="00A527D2" w:rsidRPr="002555BD" w:rsidRDefault="00A527D2" w:rsidP="008944BE">
            <w:pPr>
              <w:pStyle w:val="Doc-text2"/>
              <w:tabs>
                <w:tab w:val="left" w:pos="340"/>
              </w:tabs>
              <w:ind w:left="340" w:hanging="340"/>
            </w:pPr>
          </w:p>
        </w:tc>
      </w:tr>
    </w:tbl>
    <w:p w:rsidR="00A527D2" w:rsidRDefault="00A527D2" w:rsidP="0015459B">
      <w:pPr>
        <w:rPr>
          <w:lang w:eastAsia="zh-CN"/>
        </w:rPr>
      </w:pPr>
    </w:p>
    <w:p w:rsidR="006B4DEE" w:rsidRDefault="006B4DEE" w:rsidP="0015459B">
      <w:r>
        <w:t>RAN1 has made agreements on measurements on LAA and those are captured in Annex</w:t>
      </w:r>
      <w:r w:rsidR="00D3708D">
        <w:t xml:space="preserve"> A</w:t>
      </w:r>
      <w:r>
        <w:t>.</w:t>
      </w:r>
    </w:p>
    <w:p w:rsidR="006D267F" w:rsidRDefault="006D267F" w:rsidP="006115E6">
      <w:pPr>
        <w:rPr>
          <w:lang w:val="en-US"/>
        </w:rPr>
      </w:pPr>
    </w:p>
    <w:p w:rsidR="006115E6" w:rsidRDefault="000C5156" w:rsidP="006115E6">
      <w:r>
        <w:rPr>
          <w:lang w:val="en-US"/>
        </w:rPr>
        <w:t xml:space="preserve">RAN2 has made the initial assumption that RRM measurement and reporting would be feasible for LAA taken DRS as starting point. RAN1 is discussing on the DRS design for LAA. In this contribution we present our preliminary views on </w:t>
      </w:r>
      <w:r w:rsidR="000C5118">
        <w:rPr>
          <w:lang w:val="en-US"/>
        </w:rPr>
        <w:t xml:space="preserve">cell detection and </w:t>
      </w:r>
      <w:r>
        <w:rPr>
          <w:lang w:val="en-US"/>
        </w:rPr>
        <w:t>measurements reporting on the LAA.</w:t>
      </w:r>
      <w:r w:rsidR="006115E6" w:rsidRPr="006115E6">
        <w:t xml:space="preserve"> </w:t>
      </w:r>
      <w:r w:rsidR="006115E6">
        <w:t xml:space="preserve">If LBT is not required before transmitting the short control signalling, DRS can be periodically transmitted, and the cell measurement can be performed based on the periodic DRS as following Rel-12. </w:t>
      </w:r>
      <w:r w:rsidR="007964D4">
        <w:t>However if short control signalling cannot be transmitted periodically due to LBT, further investigation on the measurement impacts is required.</w:t>
      </w:r>
    </w:p>
    <w:p w:rsidR="006115E6" w:rsidRDefault="006115E6" w:rsidP="0047764C">
      <w:pPr>
        <w:rPr>
          <w:lang w:val="en-US"/>
        </w:rPr>
      </w:pPr>
    </w:p>
    <w:p w:rsidR="00637237" w:rsidRDefault="00EC4353" w:rsidP="00637237">
      <w:pPr>
        <w:pStyle w:val="Heading1"/>
        <w:numPr>
          <w:ilvl w:val="0"/>
          <w:numId w:val="21"/>
        </w:numPr>
        <w:jc w:val="both"/>
        <w:rPr>
          <w:lang w:eastAsia="zh-CN"/>
        </w:rPr>
      </w:pPr>
      <w:r>
        <w:rPr>
          <w:lang w:eastAsia="zh-CN"/>
        </w:rPr>
        <w:t>Discussion</w:t>
      </w:r>
    </w:p>
    <w:p w:rsidR="00511579" w:rsidRDefault="00FB217E" w:rsidP="00FB217E">
      <w:r>
        <w:t xml:space="preserve">As per the agreements and design principles of LAA in Rel-13, LAA is always to be considered as a secondary cell and aggregated with at least one licensed cell. All the deployment scenarios </w:t>
      </w:r>
      <w:r>
        <w:lastRenderedPageBreak/>
        <w:t xml:space="preserve">identified by RAN1 for LAA investigation, the UE will be configured with a PCell in licensed carrier while LAA carrier is configured as SCell. </w:t>
      </w:r>
    </w:p>
    <w:p w:rsidR="00D56017" w:rsidRDefault="00511579" w:rsidP="00FB217E">
      <w:r>
        <w:t xml:space="preserve">PCell is always in charge of mobility control. SCell can be configured after the handover is completed if necessary. Therefore, </w:t>
      </w:r>
      <w:r w:rsidR="00D56017">
        <w:rPr>
          <w:lang w:eastAsia="zh-CN"/>
        </w:rPr>
        <w:t>the UE does not need to support the RRM measurement on LAA carrier for handover purpose</w:t>
      </w:r>
      <w:r w:rsidR="00D56017">
        <w:t>.</w:t>
      </w:r>
      <w:r w:rsidR="00600D3E">
        <w:t xml:space="preserve"> LAA cell detection is required for the configuration of LAA SCell. Given the </w:t>
      </w:r>
      <w:r w:rsidR="00766201">
        <w:t xml:space="preserve">requirement on LBT restriction, the transmission </w:t>
      </w:r>
      <w:r w:rsidR="005851D5">
        <w:t xml:space="preserve">of cell reference signalling (PSS/SSS/CRS/CSI-RS) may not be presence all time for the cell detection. However the scenario may be seen similar to the small cell on/off and the introduced measurement enhancements for discovery signalling </w:t>
      </w:r>
      <w:r w:rsidR="00780C92">
        <w:t xml:space="preserve">in Rel-12 </w:t>
      </w:r>
      <w:r w:rsidR="005851D5">
        <w:t xml:space="preserve">could also be used in for LAA cell discovery. </w:t>
      </w:r>
      <w:r w:rsidR="00A769DC">
        <w:t>Moreover, RAN1 has agreed to have DRS design support of detection of DRS from a cell based on a single DRS occasion. Such measurements may be sufficient to configure a LAA SCell for the UE.</w:t>
      </w:r>
    </w:p>
    <w:p w:rsidR="00CC627C" w:rsidRDefault="00552652" w:rsidP="00B96644">
      <w:r>
        <w:t xml:space="preserve">The discussion on reference signal design and the measurement accuracy/performance requirement are </w:t>
      </w:r>
      <w:r w:rsidR="00CC627C">
        <w:t xml:space="preserve">within scope of RAN1 and RAN4. While RAN1 and RAN4 discussions on LAA measurements </w:t>
      </w:r>
      <w:r w:rsidR="00D019BE">
        <w:t>on</w:t>
      </w:r>
      <w:r w:rsidR="00CC627C">
        <w:t>going, one aspect RAN2 can discuss is the use of LAA measurements for UE operation.</w:t>
      </w:r>
    </w:p>
    <w:p w:rsidR="00BC5A10" w:rsidRDefault="00CC627C" w:rsidP="00B96644">
      <w:r>
        <w:t>As indicated above</w:t>
      </w:r>
      <w:r w:rsidR="00A769DC">
        <w:t xml:space="preserve"> the measurements on LAA cell may</w:t>
      </w:r>
      <w:r>
        <w:t xml:space="preserve"> not </w:t>
      </w:r>
      <w:r w:rsidR="00A769DC">
        <w:t xml:space="preserve">to </w:t>
      </w:r>
      <w:r>
        <w:t>be used for the handover purposes given that LAA cell is not to be configured as PCell. The</w:t>
      </w:r>
      <w:r w:rsidRPr="00CC627C">
        <w:rPr>
          <w:lang w:eastAsia="zh-CN"/>
        </w:rPr>
        <w:t xml:space="preserve"> </w:t>
      </w:r>
      <w:r>
        <w:rPr>
          <w:lang w:eastAsia="zh-CN"/>
        </w:rPr>
        <w:t>measurement on LAA is at least necessary to determine the configuration/de-configuration and activation/deactivation of a LAA SCell.</w:t>
      </w:r>
    </w:p>
    <w:p w:rsidR="000C0915" w:rsidRDefault="003475F6" w:rsidP="003475F6">
      <w:r>
        <w:t>Compared to Rel-12 DRS measurements, reference signal transmission in LAA cell is subject to the LBT requirement. Even when the cell is activated for the UE, reference signal may be absence due to busy channel. This wasn’t the situation in small cell on/off scenarios in Rel-12. When the cell is on, the reference signal is periodically transmitted in the cell</w:t>
      </w:r>
      <w:r w:rsidR="0046567E">
        <w:t xml:space="preserve"> in R</w:t>
      </w:r>
      <w:r>
        <w:t>el-12.</w:t>
      </w:r>
      <w:r w:rsidR="007964D4">
        <w:t xml:space="preserve"> The on/off nature of reference</w:t>
      </w:r>
      <w:r>
        <w:t xml:space="preserve"> signal transmission on LAA cell due to LBT requirement would have impact on measurement on LAA cell. </w:t>
      </w:r>
    </w:p>
    <w:p w:rsidR="005C414E" w:rsidRDefault="005C414E" w:rsidP="003475F6">
      <w:r>
        <w:t xml:space="preserve">If the measurements are to be used for the activation of the LAA cell, delayed cell activation due to the busy unlicensed channel </w:t>
      </w:r>
      <w:r w:rsidR="00224E1E">
        <w:t>most likely would not</w:t>
      </w:r>
      <w:r>
        <w:t xml:space="preserve"> result in </w:t>
      </w:r>
      <w:r w:rsidR="00224E1E">
        <w:t xml:space="preserve">much </w:t>
      </w:r>
      <w:r>
        <w:t xml:space="preserve">performance loss </w:t>
      </w:r>
      <w:r w:rsidR="003475F6" w:rsidRPr="003475F6">
        <w:t xml:space="preserve">because the UE would not get much serving opportunity anyway on a busy unlicensed carrier. </w:t>
      </w:r>
    </w:p>
    <w:p w:rsidR="000C0915" w:rsidRDefault="000C0915" w:rsidP="005D4BEA">
      <w:r>
        <w:t xml:space="preserve">If the measurements are to be used for the deactivation of the LAA cell, the UE measurement </w:t>
      </w:r>
      <w:r w:rsidR="007964D4">
        <w:t xml:space="preserve">may </w:t>
      </w:r>
      <w:r>
        <w:t xml:space="preserve">need to be modified to take into account the reference signal design for LAA. However, CSI reporting could also be used for the cell deactivation. </w:t>
      </w:r>
    </w:p>
    <w:p w:rsidR="000C0915" w:rsidRDefault="000C0915" w:rsidP="005D4BEA"/>
    <w:p w:rsidR="000C0915" w:rsidRDefault="000C0915" w:rsidP="005D4BEA">
      <w:pPr>
        <w:rPr>
          <w:b/>
        </w:rPr>
      </w:pPr>
      <w:r w:rsidRPr="000C0915">
        <w:rPr>
          <w:b/>
        </w:rPr>
        <w:t xml:space="preserve">Proposal </w:t>
      </w:r>
      <w:r w:rsidR="00EC4353">
        <w:rPr>
          <w:b/>
        </w:rPr>
        <w:t>1: T</w:t>
      </w:r>
      <w:r w:rsidRPr="000C0915">
        <w:rPr>
          <w:b/>
        </w:rPr>
        <w:t xml:space="preserve">he primary use of the </w:t>
      </w:r>
      <w:r>
        <w:rPr>
          <w:b/>
        </w:rPr>
        <w:t xml:space="preserve">RRM </w:t>
      </w:r>
      <w:r w:rsidRPr="000C0915">
        <w:rPr>
          <w:b/>
        </w:rPr>
        <w:t xml:space="preserve">measurement on LAA cell is for the configuration </w:t>
      </w:r>
      <w:r w:rsidR="00496B05">
        <w:rPr>
          <w:b/>
        </w:rPr>
        <w:t xml:space="preserve">and activation </w:t>
      </w:r>
      <w:r w:rsidRPr="000C0915">
        <w:rPr>
          <w:b/>
        </w:rPr>
        <w:t xml:space="preserve">of LAA cell and </w:t>
      </w:r>
      <w:r w:rsidR="00496B05">
        <w:rPr>
          <w:b/>
        </w:rPr>
        <w:t xml:space="preserve">possibly </w:t>
      </w:r>
      <w:r w:rsidRPr="000C0915">
        <w:rPr>
          <w:b/>
        </w:rPr>
        <w:t>deactivation of the LAA cell.</w:t>
      </w:r>
    </w:p>
    <w:p w:rsidR="000C0915" w:rsidRPr="000C0915" w:rsidRDefault="000C0915" w:rsidP="005D4BEA">
      <w:pPr>
        <w:rPr>
          <w:b/>
        </w:rPr>
      </w:pPr>
    </w:p>
    <w:p w:rsidR="000C0C8D" w:rsidRDefault="000C0915" w:rsidP="000C0915">
      <w:pPr>
        <w:rPr>
          <w:lang w:eastAsia="zh-CN"/>
        </w:rPr>
      </w:pPr>
      <w:r>
        <w:t xml:space="preserve">RAN1 is discussing on how to take into account LBT requirements in transmission of reference signals. </w:t>
      </w:r>
      <w:r>
        <w:rPr>
          <w:lang w:eastAsia="zh-CN"/>
        </w:rPr>
        <w:t>When LBT is required before transmitting DRS (e.g. likely in Japan), DRS cannot always be transmitted in the pre-configured subframes. It cannot be transmitted if the channel is sensed busy.</w:t>
      </w:r>
      <w:r w:rsidRPr="00B96644">
        <w:rPr>
          <w:lang w:eastAsia="zh-CN"/>
        </w:rPr>
        <w:t xml:space="preserve"> </w:t>
      </w:r>
      <w:r w:rsidR="00224E1E">
        <w:rPr>
          <w:lang w:eastAsia="zh-CN"/>
        </w:rPr>
        <w:t>Two options were agreed in RAN1 to be considered for DRS transmission. Alt 1 reuses the DRS configuration in Rel-12, but DRS is transmitted only when LBT succeeds. Alt 2 provides a window for the eNB to transmit DRS whenever LBT succeeds within this window. This would require the UE to be able to detect whether DRS is present based on a single DRS occasion.</w:t>
      </w:r>
    </w:p>
    <w:p w:rsidR="000C0915" w:rsidRDefault="000C0C8D" w:rsidP="000C0915">
      <w:r>
        <w:rPr>
          <w:lang w:eastAsia="zh-CN"/>
        </w:rPr>
        <w:t xml:space="preserve">Above alternatives may have some impacts on RAN4 discussion of the performance </w:t>
      </w:r>
      <w:proofErr w:type="gramStart"/>
      <w:r>
        <w:rPr>
          <w:lang w:eastAsia="zh-CN"/>
        </w:rPr>
        <w:t>requirements.</w:t>
      </w:r>
      <w:proofErr w:type="gramEnd"/>
      <w:r>
        <w:rPr>
          <w:lang w:eastAsia="zh-CN"/>
        </w:rPr>
        <w:t xml:space="preserve"> However, current agreements in RAN1 on DRS design for LAA are not likely to have impacts on measurements events and reporting.    </w:t>
      </w:r>
      <w:r w:rsidR="000C0915">
        <w:t xml:space="preserve"> </w:t>
      </w:r>
    </w:p>
    <w:p w:rsidR="00EC4353" w:rsidRDefault="000C0C8D" w:rsidP="00550B06">
      <w:r>
        <w:t>If RAN1 ma</w:t>
      </w:r>
      <w:r w:rsidR="00B344D6">
        <w:t>kes</w:t>
      </w:r>
      <w:r>
        <w:t xml:space="preserve"> additional agreement on DRS design impacting the measurements event and reporting procedure, RAN2</w:t>
      </w:r>
      <w:r w:rsidR="000C0915">
        <w:t xml:space="preserve"> needs to discuss any modification is required for measurement events and reporting. </w:t>
      </w:r>
      <w:r w:rsidR="007964D4">
        <w:t>However,</w:t>
      </w:r>
      <w:r>
        <w:t xml:space="preserve"> based on current </w:t>
      </w:r>
      <w:r w:rsidR="007964D4">
        <w:t>RAN1</w:t>
      </w:r>
      <w:r>
        <w:t xml:space="preserve"> agreements </w:t>
      </w:r>
      <w:r w:rsidR="007964D4">
        <w:t>on DRS design for LAA</w:t>
      </w:r>
      <w:r>
        <w:t>, legacy measurement and reporting could be reused.</w:t>
      </w:r>
      <w:r w:rsidR="007964D4">
        <w:t xml:space="preserve">  </w:t>
      </w:r>
    </w:p>
    <w:p w:rsidR="00EC4353" w:rsidRDefault="00EC4353" w:rsidP="00550B06"/>
    <w:p w:rsidR="007C45BE" w:rsidRDefault="00EC4353" w:rsidP="007C45BE">
      <w:r w:rsidRPr="00EC4353">
        <w:rPr>
          <w:b/>
        </w:rPr>
        <w:t xml:space="preserve">Proposal 2:  </w:t>
      </w:r>
      <w:r w:rsidR="007C45BE">
        <w:t xml:space="preserve">Based on current RAN1 agreements on DRS design for LAA, legacy measurement and reporting could be reused.  </w:t>
      </w:r>
    </w:p>
    <w:p w:rsidR="00CB3BE3" w:rsidRDefault="00CB3BE3" w:rsidP="00550B06">
      <w:pPr>
        <w:rPr>
          <w:lang w:val="en-US"/>
        </w:rPr>
      </w:pPr>
    </w:p>
    <w:p w:rsidR="00EC4353" w:rsidRDefault="00CB3BE3" w:rsidP="00550B06">
      <w:r>
        <w:t xml:space="preserve">RAN1 has agreed to consider RRM enhancement taking into account RSSI measurement and reports. One aspects of the RSSI measurement as discussed in RAN1 is to use for assisting the channel sensing. However, it is not clear how to use the RSSI measurements reports from a group of UEs in the cell for channel sensing of LAA cell by the eNB. The accuracy of measurement depends on the use of averaging window size. Another aspect which has </w:t>
      </w:r>
      <w:proofErr w:type="gramStart"/>
      <w:r>
        <w:t>raised</w:t>
      </w:r>
      <w:proofErr w:type="gramEnd"/>
      <w:r>
        <w:t xml:space="preserve"> in RAN1 discussion is the hidden node problem and the use of U</w:t>
      </w:r>
      <w:r w:rsidR="007C45BE">
        <w:t>E</w:t>
      </w:r>
      <w:r>
        <w:t xml:space="preserve"> measurement reporting to solve the issue. </w:t>
      </w:r>
      <w:r w:rsidR="007C45BE">
        <w:t>W</w:t>
      </w:r>
      <w:r>
        <w:t xml:space="preserve">e see quite a few open issues on the use of RSSI based measurements reporting by the UE. </w:t>
      </w:r>
    </w:p>
    <w:p w:rsidR="00CB3BE3" w:rsidRDefault="00CB3BE3" w:rsidP="00550B06">
      <w:r>
        <w:t xml:space="preserve">If RSSI based measurements to be introduced, the measurement event should be designed to cater for the use of RSSI measurement at the eNB. </w:t>
      </w:r>
      <w:r w:rsidR="007C45BE">
        <w:t>O</w:t>
      </w:r>
      <w:r>
        <w:t>n one hand, the existing measurement events co</w:t>
      </w:r>
      <w:r w:rsidR="00D94813">
        <w:t>uld be reused, on the other hand new measurement events to be defined. W</w:t>
      </w:r>
      <w:r>
        <w:t>ithout a clear understanding of the use fullness of such measurement,</w:t>
      </w:r>
      <w:r w:rsidR="00D94813">
        <w:t xml:space="preserve"> discussion of measurement events and reporting could not be concluded.</w:t>
      </w:r>
    </w:p>
    <w:p w:rsidR="00D94813" w:rsidRDefault="00D94813" w:rsidP="00550B06"/>
    <w:p w:rsidR="00D94813" w:rsidRDefault="00D94813" w:rsidP="00D94813">
      <w:pPr>
        <w:rPr>
          <w:b/>
        </w:rPr>
      </w:pPr>
      <w:r>
        <w:rPr>
          <w:b/>
        </w:rPr>
        <w:t>Proposal 3</w:t>
      </w:r>
      <w:r w:rsidRPr="00EC4353">
        <w:rPr>
          <w:b/>
        </w:rPr>
        <w:t xml:space="preserve">:  </w:t>
      </w:r>
      <w:r>
        <w:rPr>
          <w:b/>
        </w:rPr>
        <w:t>RSSI based measurements discussion require</w:t>
      </w:r>
      <w:r w:rsidR="00224E1E">
        <w:rPr>
          <w:b/>
        </w:rPr>
        <w:t>s</w:t>
      </w:r>
      <w:r>
        <w:rPr>
          <w:b/>
        </w:rPr>
        <w:t xml:space="preserve"> better understanding of the use of the UE reported measurement at the eNB.</w:t>
      </w:r>
    </w:p>
    <w:p w:rsidR="006D267F" w:rsidRDefault="006D267F" w:rsidP="00550B06"/>
    <w:p w:rsidR="002B6592" w:rsidRDefault="000C0915" w:rsidP="00550B06">
      <w:r>
        <w:t xml:space="preserve">Not only the RRM measurement but also CSI measurement on LAA cell may require modification.  </w:t>
      </w:r>
      <w:r w:rsidR="002B6592">
        <w:t>In Rel-12</w:t>
      </w:r>
      <w:r w:rsidR="009C3F38">
        <w:t>, t</w:t>
      </w:r>
      <w:r w:rsidR="005D4BEA">
        <w:t>he CSI measurement has been performed based on CRS, or CSI-RS, or CSI-RS and CSI-IM, depending on the transmission mode.</w:t>
      </w:r>
      <w:r w:rsidR="00D94813">
        <w:t xml:space="preserve"> </w:t>
      </w:r>
      <w:r w:rsidR="002B6592">
        <w:t xml:space="preserve">RAN1 is still in discussion of which transmission modes to be used for LAA transmission. </w:t>
      </w:r>
    </w:p>
    <w:p w:rsidR="006E5A95" w:rsidRDefault="006E5A95" w:rsidP="006E5A95">
      <w:r>
        <w:t>If LBT is not required before transmitting the short control signalling, RS can be periodically transmitted, and the channel measurement can be performed based on the periodic RS.</w:t>
      </w:r>
      <w:r w:rsidR="006A29DE">
        <w:t xml:space="preserve"> </w:t>
      </w:r>
      <w:r>
        <w:t xml:space="preserve">If LBT is required, periodic RS transmission cannot always be guaranteed. A possible enhancement is to use aperiodic RS. </w:t>
      </w:r>
      <w:r w:rsidR="002008B2">
        <w:t>A</w:t>
      </w:r>
      <w:r w:rsidR="005D575C">
        <w:t>periodic RS could be transmitted by itself when the channel is free, or be em</w:t>
      </w:r>
      <w:r w:rsidR="002008B2">
        <w:t>bedded in the data transmissions</w:t>
      </w:r>
      <w:r w:rsidR="005D575C">
        <w:t>.</w:t>
      </w:r>
      <w:r w:rsidR="006A29DE">
        <w:t xml:space="preserve"> How to perform the CSI measurement taking into account the possible strong interference from close neighbouring LAA cell is within the scope of RAN1.</w:t>
      </w:r>
    </w:p>
    <w:p w:rsidR="00D94813" w:rsidRDefault="006A29DE" w:rsidP="006E5A95">
      <w:r>
        <w:t xml:space="preserve">From CSI reporting point of view, periodic and aperiodic CSI reporting are supported in Rel-12. </w:t>
      </w:r>
      <w:r w:rsidR="00D94813">
        <w:t xml:space="preserve">Periodic reporting can be configured by the network and when the UE has valid measurement information the UE can transmit on the configured CSI resources. </w:t>
      </w:r>
      <w:r w:rsidR="00EC4353">
        <w:t xml:space="preserve">Aperiodic CSI reporting supports the CSI reporting on a requested cell in the allocated UL grant on another carrier. Aperiodic CSI reporting can be applied for the LAA cell following Rel-12 CSI reporting procedure. The network request the CSI reporting at the same time as the UE is scheduled on LAA cell. </w:t>
      </w:r>
    </w:p>
    <w:p w:rsidR="00D94813" w:rsidRDefault="00D94813" w:rsidP="006E5A95"/>
    <w:p w:rsidR="00EC4353" w:rsidRDefault="00EC4353" w:rsidP="00EC4353">
      <w:pPr>
        <w:rPr>
          <w:b/>
        </w:rPr>
      </w:pPr>
      <w:r w:rsidRPr="000C0915">
        <w:rPr>
          <w:b/>
        </w:rPr>
        <w:t xml:space="preserve">Proposal </w:t>
      </w:r>
      <w:r w:rsidR="0007000C">
        <w:rPr>
          <w:b/>
        </w:rPr>
        <w:t>4</w:t>
      </w:r>
      <w:r w:rsidRPr="000C0915">
        <w:rPr>
          <w:b/>
        </w:rPr>
        <w:t xml:space="preserve">: </w:t>
      </w:r>
      <w:r w:rsidR="00D94813">
        <w:rPr>
          <w:b/>
        </w:rPr>
        <w:t xml:space="preserve">Periodic or </w:t>
      </w:r>
      <w:r>
        <w:rPr>
          <w:b/>
        </w:rPr>
        <w:t>Aperiodic CSI reporting can be applied t</w:t>
      </w:r>
      <w:r w:rsidR="0063240D">
        <w:rPr>
          <w:b/>
        </w:rPr>
        <w:t>o LAA cells following Rel-12 CSI</w:t>
      </w:r>
      <w:r>
        <w:rPr>
          <w:b/>
        </w:rPr>
        <w:t xml:space="preserve"> reporting procedure.</w:t>
      </w:r>
    </w:p>
    <w:p w:rsidR="00EC4353" w:rsidRDefault="00EC4353" w:rsidP="00EC4353">
      <w:pPr>
        <w:rPr>
          <w:b/>
        </w:rPr>
      </w:pPr>
    </w:p>
    <w:p w:rsidR="00BE6A3E" w:rsidRPr="00D12932" w:rsidRDefault="00BE6A3E" w:rsidP="00B43454">
      <w:pPr>
        <w:pStyle w:val="Heading1"/>
        <w:numPr>
          <w:ilvl w:val="0"/>
          <w:numId w:val="21"/>
        </w:numPr>
        <w:jc w:val="both"/>
      </w:pPr>
      <w:r w:rsidRPr="00D12932">
        <w:t>Conclusion</w:t>
      </w:r>
    </w:p>
    <w:p w:rsidR="00771FF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w:t>
      </w:r>
      <w:r w:rsidR="0007000C">
        <w:rPr>
          <w:color w:val="000000"/>
          <w:lang w:val="en-US" w:eastAsia="zh-CN"/>
        </w:rPr>
        <w:t>measurements on LAA SCell based on RAN1 agreements and discussion. The following proposals were made.</w:t>
      </w:r>
    </w:p>
    <w:p w:rsidR="00EC4353" w:rsidRDefault="00EC4353" w:rsidP="00EC4353">
      <w:pPr>
        <w:rPr>
          <w:b/>
        </w:rPr>
      </w:pPr>
      <w:r w:rsidRPr="000C0915">
        <w:rPr>
          <w:b/>
        </w:rPr>
        <w:t xml:space="preserve">Proposal </w:t>
      </w:r>
      <w:r>
        <w:rPr>
          <w:b/>
        </w:rPr>
        <w:t>1: T</w:t>
      </w:r>
      <w:r w:rsidRPr="000C0915">
        <w:rPr>
          <w:b/>
        </w:rPr>
        <w:t xml:space="preserve">he primary use of the </w:t>
      </w:r>
      <w:r>
        <w:rPr>
          <w:b/>
        </w:rPr>
        <w:t xml:space="preserve">RRM </w:t>
      </w:r>
      <w:r w:rsidRPr="000C0915">
        <w:rPr>
          <w:b/>
        </w:rPr>
        <w:t xml:space="preserve">measurement on LAA cell is for the configuration </w:t>
      </w:r>
      <w:r>
        <w:rPr>
          <w:b/>
        </w:rPr>
        <w:t xml:space="preserve">and activation </w:t>
      </w:r>
      <w:r w:rsidRPr="000C0915">
        <w:rPr>
          <w:b/>
        </w:rPr>
        <w:t xml:space="preserve">of LAA cell and </w:t>
      </w:r>
      <w:r>
        <w:rPr>
          <w:b/>
        </w:rPr>
        <w:t xml:space="preserve">possibly </w:t>
      </w:r>
      <w:r w:rsidRPr="000C0915">
        <w:rPr>
          <w:b/>
        </w:rPr>
        <w:t>deactivation of the LAA cell.</w:t>
      </w:r>
    </w:p>
    <w:p w:rsidR="007C45BE" w:rsidRDefault="007C45BE" w:rsidP="007C45BE">
      <w:r w:rsidRPr="00EC4353">
        <w:rPr>
          <w:b/>
        </w:rPr>
        <w:lastRenderedPageBreak/>
        <w:t xml:space="preserve">Proposal 2:  </w:t>
      </w:r>
      <w:r>
        <w:t xml:space="preserve">Based on current RAN1 agreements on DRS design for LAA, legacy measurement and reporting could be reused.  </w:t>
      </w:r>
    </w:p>
    <w:p w:rsidR="0007000C" w:rsidRDefault="0007000C" w:rsidP="0007000C">
      <w:pPr>
        <w:rPr>
          <w:b/>
        </w:rPr>
      </w:pPr>
      <w:r>
        <w:rPr>
          <w:b/>
        </w:rPr>
        <w:t>Proposal 3</w:t>
      </w:r>
      <w:r w:rsidRPr="00EC4353">
        <w:rPr>
          <w:b/>
        </w:rPr>
        <w:t xml:space="preserve">:  </w:t>
      </w:r>
      <w:r>
        <w:rPr>
          <w:b/>
        </w:rPr>
        <w:t>RSSI based measurements discussion required better understanding of the use of the UE reported measurement at the eNB.</w:t>
      </w:r>
    </w:p>
    <w:p w:rsidR="00EC4353" w:rsidRDefault="00EC4353" w:rsidP="00EC4353">
      <w:pPr>
        <w:rPr>
          <w:b/>
        </w:rPr>
      </w:pPr>
      <w:r w:rsidRPr="000C0915">
        <w:rPr>
          <w:b/>
        </w:rPr>
        <w:t xml:space="preserve">Proposal </w:t>
      </w:r>
      <w:r w:rsidR="0007000C">
        <w:rPr>
          <w:b/>
        </w:rPr>
        <w:t>4</w:t>
      </w:r>
      <w:r w:rsidRPr="000C0915">
        <w:rPr>
          <w:b/>
        </w:rPr>
        <w:t xml:space="preserve">: </w:t>
      </w:r>
      <w:r>
        <w:rPr>
          <w:b/>
        </w:rPr>
        <w:t>Aperiodic CSI reporting can be applied t</w:t>
      </w:r>
      <w:r w:rsidR="0063240D">
        <w:rPr>
          <w:b/>
        </w:rPr>
        <w:t>o LAA cells following Rel-12 CSI</w:t>
      </w:r>
      <w:r>
        <w:rPr>
          <w:b/>
        </w:rPr>
        <w:t xml:space="preserve"> reporting procedure.</w:t>
      </w:r>
    </w:p>
    <w:p w:rsidR="00771FFE" w:rsidRDefault="00771FFE" w:rsidP="00594FDF">
      <w:pPr>
        <w:rPr>
          <w:color w:val="000000"/>
          <w:lang w:val="en-US" w:eastAsia="zh-CN"/>
        </w:rPr>
      </w:pPr>
    </w:p>
    <w:p w:rsidR="006B4DEE" w:rsidRPr="00D12932" w:rsidRDefault="006B4DEE" w:rsidP="006B4DEE">
      <w:pPr>
        <w:pStyle w:val="Heading1"/>
        <w:numPr>
          <w:ilvl w:val="0"/>
          <w:numId w:val="21"/>
        </w:numPr>
        <w:jc w:val="both"/>
      </w:pPr>
      <w:r>
        <w:t>Annex</w:t>
      </w:r>
      <w:r w:rsidR="007C45BE">
        <w:t xml:space="preserve"> A</w:t>
      </w:r>
    </w:p>
    <w:p w:rsidR="006B4DEE" w:rsidRDefault="006B4DEE" w:rsidP="00594FDF">
      <w:pPr>
        <w:rPr>
          <w:color w:val="000000"/>
          <w:lang w:val="en-US" w:eastAsia="zh-CN"/>
        </w:rPr>
      </w:pPr>
      <w:proofErr w:type="gramStart"/>
      <w:r>
        <w:rPr>
          <w:color w:val="000000"/>
          <w:lang w:val="en-US" w:eastAsia="zh-CN"/>
        </w:rPr>
        <w:t>RAN1 agreements on LAA measurements.</w:t>
      </w:r>
      <w:proofErr w:type="gramEnd"/>
    </w:p>
    <w:p w:rsidR="006B4DEE" w:rsidRDefault="006B4DEE" w:rsidP="006B4DEE">
      <w:r>
        <w:t>The following functionalities have been agreed for LAA in RAN1#79-80:</w:t>
      </w:r>
    </w:p>
    <w:p w:rsidR="006B4DEE" w:rsidRDefault="006B4DEE" w:rsidP="006B4DEE">
      <w:pPr>
        <w:ind w:left="360"/>
        <w:rPr>
          <w:rFonts w:eastAsia="MS Mincho"/>
          <w:b/>
          <w:iCs/>
          <w:sz w:val="20"/>
          <w:u w:val="single"/>
          <w:lang w:eastAsia="ja-JP"/>
        </w:rPr>
      </w:pPr>
      <w:r w:rsidRPr="000C5156">
        <w:rPr>
          <w:rFonts w:eastAsia="MS Mincho"/>
          <w:b/>
          <w:iCs/>
          <w:sz w:val="20"/>
          <w:u w:val="single"/>
          <w:lang w:eastAsia="ja-JP"/>
        </w:rPr>
        <w:t>Agreements:</w:t>
      </w:r>
    </w:p>
    <w:p w:rsidR="006B4DEE" w:rsidRPr="0015459B" w:rsidRDefault="006B4DEE" w:rsidP="006B4DEE">
      <w:pPr>
        <w:numPr>
          <w:ilvl w:val="0"/>
          <w:numId w:val="22"/>
        </w:numPr>
        <w:spacing w:before="0" w:after="0" w:line="240" w:lineRule="auto"/>
        <w:jc w:val="left"/>
        <w:rPr>
          <w:rFonts w:eastAsia="MS Mincho"/>
          <w:iCs/>
          <w:sz w:val="20"/>
          <w:lang w:val="en-US" w:eastAsia="ja-JP"/>
        </w:rPr>
      </w:pPr>
      <w:r w:rsidRPr="0015459B">
        <w:rPr>
          <w:rFonts w:eastAsia="MS Mincho"/>
          <w:iCs/>
          <w:sz w:val="20"/>
          <w:lang w:eastAsia="ja-JP"/>
        </w:rPr>
        <w:t>Support at least the following functionalities in addition to the current LAA TR on the unlicensed band</w:t>
      </w:r>
    </w:p>
    <w:p w:rsidR="006B4DEE" w:rsidRPr="0015459B" w:rsidRDefault="006B4DEE" w:rsidP="006B4DEE">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RRM measurement</w:t>
      </w:r>
      <w:r w:rsidRPr="0015459B">
        <w:rPr>
          <w:rFonts w:eastAsia="MS Mincho" w:hint="eastAsia"/>
          <w:iCs/>
          <w:sz w:val="20"/>
          <w:lang w:eastAsia="ja-JP"/>
        </w:rPr>
        <w:t xml:space="preserve"> including cell identification</w:t>
      </w:r>
    </w:p>
    <w:p w:rsidR="006B4DEE" w:rsidRPr="0015459B" w:rsidRDefault="006B4DEE" w:rsidP="006B4DEE">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AGC setting</w:t>
      </w:r>
    </w:p>
    <w:p w:rsidR="006B4DEE" w:rsidRPr="0015459B" w:rsidRDefault="006B4DEE" w:rsidP="006B4DEE">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Coarse synchronization</w:t>
      </w:r>
    </w:p>
    <w:p w:rsidR="006B4DEE" w:rsidRPr="0015459B" w:rsidRDefault="006B4DEE" w:rsidP="006B4DEE">
      <w:pPr>
        <w:numPr>
          <w:ilvl w:val="1"/>
          <w:numId w:val="22"/>
        </w:numPr>
        <w:spacing w:before="0" w:after="0" w:line="240" w:lineRule="auto"/>
        <w:jc w:val="left"/>
        <w:rPr>
          <w:rFonts w:eastAsia="MS Mincho"/>
          <w:iCs/>
          <w:sz w:val="20"/>
          <w:lang w:val="en-US" w:eastAsia="ja-JP"/>
        </w:rPr>
      </w:pPr>
      <w:r w:rsidRPr="0015459B">
        <w:rPr>
          <w:rFonts w:eastAsia="MS Mincho" w:hint="eastAsia"/>
          <w:iCs/>
          <w:sz w:val="20"/>
          <w:lang w:eastAsia="ja-JP"/>
        </w:rPr>
        <w:t>F</w:t>
      </w:r>
      <w:r w:rsidRPr="0015459B">
        <w:rPr>
          <w:rFonts w:eastAsia="MS Mincho"/>
          <w:iCs/>
          <w:sz w:val="20"/>
          <w:lang w:eastAsia="ja-JP"/>
        </w:rPr>
        <w:t xml:space="preserve">ine frequency/time </w:t>
      </w:r>
      <w:r w:rsidRPr="0015459B">
        <w:rPr>
          <w:rFonts w:eastAsia="MS Mincho" w:hint="eastAsia"/>
          <w:iCs/>
          <w:sz w:val="20"/>
          <w:lang w:eastAsia="ja-JP"/>
        </w:rPr>
        <w:t>estimation for at least demodulation</w:t>
      </w:r>
    </w:p>
    <w:p w:rsidR="006B4DEE" w:rsidRPr="0015459B" w:rsidRDefault="006B4DEE" w:rsidP="006B4DEE">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CSI measurement, including channel and interference</w:t>
      </w:r>
    </w:p>
    <w:p w:rsidR="006B4DEE" w:rsidRPr="00C96FB7" w:rsidRDefault="006B4DEE" w:rsidP="006B4DEE">
      <w:pPr>
        <w:numPr>
          <w:ilvl w:val="0"/>
          <w:numId w:val="22"/>
        </w:numPr>
        <w:spacing w:before="0" w:after="0" w:line="240" w:lineRule="auto"/>
        <w:jc w:val="left"/>
        <w:rPr>
          <w:rFonts w:eastAsia="MS Mincho"/>
          <w:iCs/>
          <w:lang w:val="en-US" w:eastAsia="ja-JP"/>
        </w:rPr>
      </w:pPr>
      <w:r w:rsidRPr="0015459B">
        <w:rPr>
          <w:rFonts w:eastAsia="MS Mincho"/>
          <w:iCs/>
          <w:sz w:val="20"/>
          <w:lang w:eastAsia="ja-JP"/>
        </w:rPr>
        <w:t>Rel-12 DRS can be the starting point for at least RRM measurement</w:t>
      </w:r>
      <w:r w:rsidRPr="0015459B">
        <w:rPr>
          <w:rFonts w:eastAsia="MS Mincho" w:hint="eastAsia"/>
          <w:iCs/>
          <w:sz w:val="20"/>
          <w:lang w:eastAsia="ja-JP"/>
        </w:rPr>
        <w:t xml:space="preserve"> including cell identification</w:t>
      </w:r>
    </w:p>
    <w:p w:rsidR="006B4DEE" w:rsidRDefault="006B4DEE" w:rsidP="006B4DEE">
      <w:pPr>
        <w:ind w:left="360"/>
        <w:rPr>
          <w:rFonts w:eastAsia="MS Mincho"/>
          <w:b/>
          <w:sz w:val="20"/>
          <w:u w:val="single"/>
          <w:lang w:val="en-US" w:eastAsia="ja-JP"/>
        </w:rPr>
      </w:pPr>
      <w:r w:rsidRPr="000C5156">
        <w:rPr>
          <w:rFonts w:eastAsia="MS Mincho"/>
          <w:b/>
          <w:sz w:val="20"/>
          <w:u w:val="single"/>
          <w:lang w:val="en-US" w:eastAsia="ja-JP"/>
        </w:rPr>
        <w:t>Agreements:</w:t>
      </w:r>
    </w:p>
    <w:p w:rsidR="006B4DEE" w:rsidRDefault="006B4DEE" w:rsidP="006B4DEE">
      <w:pPr>
        <w:numPr>
          <w:ilvl w:val="0"/>
          <w:numId w:val="27"/>
        </w:numPr>
        <w:tabs>
          <w:tab w:val="clear" w:pos="720"/>
          <w:tab w:val="num" w:pos="1080"/>
        </w:tabs>
        <w:spacing w:before="0" w:after="0" w:line="240" w:lineRule="auto"/>
        <w:ind w:left="1080"/>
        <w:jc w:val="left"/>
        <w:rPr>
          <w:rFonts w:eastAsia="MS Mincho"/>
          <w:sz w:val="20"/>
          <w:lang w:val="en-US" w:eastAsia="ja-JP"/>
        </w:rPr>
      </w:pPr>
      <w:r w:rsidRPr="00471ADD">
        <w:rPr>
          <w:rFonts w:eastAsia="MS Mincho"/>
          <w:sz w:val="20"/>
          <w:lang w:val="en-US" w:eastAsia="ja-JP"/>
        </w:rPr>
        <w:t>Functions that can be supported by one or more signals to be transmitted from the beginning of a discontinuous LAA downlink transmission can include at least one of the following</w:t>
      </w:r>
    </w:p>
    <w:p w:rsidR="006B4DEE" w:rsidRDefault="006B4DEE" w:rsidP="006B4DEE">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AGC setting</w:t>
      </w:r>
    </w:p>
    <w:p w:rsidR="006B4DEE" w:rsidRDefault="006B4DEE" w:rsidP="006B4DEE">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Channel reservation</w:t>
      </w:r>
    </w:p>
    <w:p w:rsidR="006B4DEE" w:rsidRDefault="006B4DEE" w:rsidP="006B4DEE">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 xml:space="preserve">Note: Transmission of the signal(s) may not be required </w:t>
      </w:r>
    </w:p>
    <w:p w:rsidR="006B4DEE" w:rsidRDefault="006B4DEE" w:rsidP="006B4DEE">
      <w:pPr>
        <w:numPr>
          <w:ilvl w:val="0"/>
          <w:numId w:val="27"/>
        </w:numPr>
        <w:tabs>
          <w:tab w:val="clear" w:pos="720"/>
          <w:tab w:val="num" w:pos="1080"/>
        </w:tabs>
        <w:spacing w:before="0" w:after="0" w:line="240" w:lineRule="auto"/>
        <w:ind w:left="1080"/>
        <w:jc w:val="left"/>
        <w:rPr>
          <w:rFonts w:eastAsia="MS Mincho"/>
          <w:sz w:val="20"/>
          <w:lang w:val="en-US" w:eastAsia="ja-JP"/>
        </w:rPr>
      </w:pPr>
      <w:r w:rsidRPr="00471ADD">
        <w:rPr>
          <w:rFonts w:eastAsia="MS Mincho"/>
          <w:sz w:val="20"/>
          <w:lang w:val="en-US" w:eastAsia="ja-JP"/>
        </w:rPr>
        <w:t>At least functions that may need to be supported for discontinuous LAA downlink transmission operation by one or more signals include at least one of the following</w:t>
      </w:r>
    </w:p>
    <w:p w:rsidR="006B4DEE" w:rsidRDefault="006B4DEE" w:rsidP="006B4DEE">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Detection of the LAA downlink transmission (including cell identification)</w:t>
      </w:r>
    </w:p>
    <w:p w:rsidR="006B4DEE" w:rsidRDefault="006B4DEE" w:rsidP="006B4DEE">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Time &amp; frequency synchronization</w:t>
      </w:r>
    </w:p>
    <w:p w:rsidR="006B4DEE" w:rsidRDefault="006B4DEE" w:rsidP="006B4DEE">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Other functionalities if necessary</w:t>
      </w:r>
    </w:p>
    <w:p w:rsidR="006B4DEE" w:rsidRDefault="006B4DEE" w:rsidP="006B4DEE">
      <w:pPr>
        <w:numPr>
          <w:ilvl w:val="0"/>
          <w:numId w:val="27"/>
        </w:numPr>
        <w:tabs>
          <w:tab w:val="clear" w:pos="720"/>
          <w:tab w:val="num" w:pos="1080"/>
        </w:tabs>
        <w:spacing w:before="0" w:after="0" w:line="240" w:lineRule="auto"/>
        <w:ind w:left="1080"/>
        <w:jc w:val="left"/>
        <w:rPr>
          <w:rFonts w:eastAsia="MS Mincho"/>
          <w:sz w:val="20"/>
          <w:lang w:val="en-US" w:eastAsia="ja-JP"/>
        </w:rPr>
      </w:pPr>
      <w:r w:rsidRPr="00471ADD">
        <w:rPr>
          <w:rFonts w:eastAsia="MS Mincho"/>
          <w:sz w:val="20"/>
          <w:lang w:val="en-US" w:eastAsia="ja-JP"/>
        </w:rPr>
        <w:t>Note that it is not precluded the same signal is used for all above and possibly other functions</w:t>
      </w:r>
    </w:p>
    <w:p w:rsidR="006B4DEE" w:rsidRDefault="006B4DEE" w:rsidP="006B4DEE">
      <w:pPr>
        <w:numPr>
          <w:ilvl w:val="0"/>
          <w:numId w:val="27"/>
        </w:numPr>
        <w:tabs>
          <w:tab w:val="clear" w:pos="720"/>
          <w:tab w:val="num" w:pos="1080"/>
        </w:tabs>
        <w:spacing w:before="0" w:after="0" w:line="240" w:lineRule="auto"/>
        <w:ind w:left="1080"/>
        <w:jc w:val="left"/>
        <w:rPr>
          <w:rFonts w:eastAsia="MS Mincho"/>
          <w:lang w:val="en-US" w:eastAsia="ja-JP"/>
        </w:rPr>
      </w:pPr>
      <w:r w:rsidRPr="00471ADD">
        <w:rPr>
          <w:rFonts w:eastAsia="MS Mincho"/>
          <w:sz w:val="20"/>
          <w:lang w:val="en-US" w:eastAsia="ja-JP"/>
        </w:rPr>
        <w:t>The above functionalities can be supported by other methods (including assistance from licensed carrier)</w:t>
      </w:r>
    </w:p>
    <w:p w:rsidR="006B4DEE" w:rsidRPr="006D267F" w:rsidRDefault="006B4DEE" w:rsidP="006B4DEE">
      <w:r w:rsidRPr="006D267F">
        <w:rPr>
          <w:b/>
          <w:bCs/>
          <w:u w:val="single"/>
          <w:lang w:val="en-US"/>
        </w:rPr>
        <w:t>Agreements</w:t>
      </w:r>
      <w:r>
        <w:rPr>
          <w:b/>
          <w:bCs/>
          <w:u w:val="single"/>
          <w:lang w:val="en-US"/>
        </w:rPr>
        <w:t xml:space="preserve"> from RAN1 adhoc meeting</w:t>
      </w:r>
      <w:r w:rsidRPr="006D267F">
        <w:rPr>
          <w:b/>
          <w:bCs/>
          <w:u w:val="single"/>
          <w:lang w:val="en-US"/>
        </w:rPr>
        <w:t>:</w:t>
      </w:r>
      <w:r w:rsidRPr="006D267F">
        <w:rPr>
          <w:lang w:val="en-US"/>
        </w:rPr>
        <w:t xml:space="preserve"> </w:t>
      </w:r>
    </w:p>
    <w:p w:rsidR="006B4DEE" w:rsidRPr="006D267F" w:rsidRDefault="006B4DEE" w:rsidP="006B4DEE">
      <w:pPr>
        <w:numPr>
          <w:ilvl w:val="0"/>
          <w:numId w:val="31"/>
        </w:numPr>
        <w:tabs>
          <w:tab w:val="left" w:pos="720"/>
        </w:tabs>
      </w:pPr>
      <w:r w:rsidRPr="006D267F">
        <w:rPr>
          <w:lang w:val="en-US"/>
        </w:rPr>
        <w:t xml:space="preserve">Consider RRM enhancements, including RSSI measurement and reports </w:t>
      </w:r>
    </w:p>
    <w:p w:rsidR="006B4DEE" w:rsidRPr="006D267F" w:rsidRDefault="006B4DEE" w:rsidP="006B4DEE">
      <w:pPr>
        <w:numPr>
          <w:ilvl w:val="0"/>
          <w:numId w:val="31"/>
        </w:numPr>
        <w:tabs>
          <w:tab w:val="left" w:pos="720"/>
        </w:tabs>
      </w:pPr>
      <w:r w:rsidRPr="006D267F">
        <w:rPr>
          <w:lang w:val="en-US"/>
        </w:rPr>
        <w:t xml:space="preserve">FFS: RRM measurement based on a single DRS occasion </w:t>
      </w:r>
    </w:p>
    <w:p w:rsidR="006B4DEE" w:rsidRPr="006D267F" w:rsidRDefault="006B4DEE" w:rsidP="006B4DEE">
      <w:pPr>
        <w:numPr>
          <w:ilvl w:val="0"/>
          <w:numId w:val="31"/>
        </w:numPr>
        <w:tabs>
          <w:tab w:val="left" w:pos="720"/>
        </w:tabs>
      </w:pPr>
      <w:r w:rsidRPr="006D267F">
        <w:rPr>
          <w:lang w:val="en-US"/>
        </w:rPr>
        <w:t xml:space="preserve">Interference measurement for CSI is not allowed outside of the serving cell transmission periods </w:t>
      </w:r>
    </w:p>
    <w:p w:rsidR="006B4DEE" w:rsidRPr="006D267F" w:rsidRDefault="006B4DEE" w:rsidP="006B4DEE">
      <w:pPr>
        <w:numPr>
          <w:ilvl w:val="0"/>
          <w:numId w:val="31"/>
        </w:numPr>
        <w:tabs>
          <w:tab w:val="left" w:pos="720"/>
        </w:tabs>
      </w:pPr>
      <w:r w:rsidRPr="006D267F">
        <w:rPr>
          <w:lang w:val="en-US"/>
        </w:rPr>
        <w:t xml:space="preserve">Design targets of LAA DRS includes at least </w:t>
      </w:r>
    </w:p>
    <w:p w:rsidR="006B4DEE" w:rsidRPr="006D267F" w:rsidRDefault="006B4DEE" w:rsidP="006B4DEE">
      <w:pPr>
        <w:numPr>
          <w:ilvl w:val="1"/>
          <w:numId w:val="31"/>
        </w:numPr>
        <w:tabs>
          <w:tab w:val="left" w:pos="720"/>
        </w:tabs>
      </w:pPr>
      <w:r w:rsidRPr="006D267F">
        <w:rPr>
          <w:lang w:val="en-US"/>
        </w:rPr>
        <w:t xml:space="preserve">LAA DRS should at least support for RRM measurement </w:t>
      </w:r>
    </w:p>
    <w:p w:rsidR="006B4DEE" w:rsidRPr="006D267F" w:rsidRDefault="006B4DEE" w:rsidP="006B4DEE">
      <w:pPr>
        <w:numPr>
          <w:ilvl w:val="1"/>
          <w:numId w:val="31"/>
        </w:numPr>
        <w:tabs>
          <w:tab w:val="left" w:pos="720"/>
        </w:tabs>
      </w:pPr>
      <w:r w:rsidRPr="006D267F">
        <w:rPr>
          <w:lang w:val="en-US"/>
        </w:rPr>
        <w:t xml:space="preserve">Detection of DRS from a cell based on a single DRS occasion </w:t>
      </w:r>
    </w:p>
    <w:p w:rsidR="006B4DEE" w:rsidRPr="006D267F" w:rsidRDefault="006B4DEE" w:rsidP="006B4DEE">
      <w:pPr>
        <w:numPr>
          <w:ilvl w:val="2"/>
          <w:numId w:val="31"/>
        </w:numPr>
        <w:tabs>
          <w:tab w:val="left" w:pos="720"/>
        </w:tabs>
      </w:pPr>
      <w:r w:rsidRPr="006D267F">
        <w:rPr>
          <w:lang w:val="en-US"/>
        </w:rPr>
        <w:t xml:space="preserve">Feasibility is for further evaluation </w:t>
      </w:r>
    </w:p>
    <w:p w:rsidR="006B4DEE" w:rsidRPr="006D267F" w:rsidRDefault="006B4DEE" w:rsidP="006B4DEE">
      <w:pPr>
        <w:numPr>
          <w:ilvl w:val="1"/>
          <w:numId w:val="31"/>
        </w:numPr>
        <w:tabs>
          <w:tab w:val="left" w:pos="720"/>
        </w:tabs>
      </w:pPr>
      <w:r w:rsidRPr="006D267F">
        <w:rPr>
          <w:lang w:val="en-US"/>
        </w:rPr>
        <w:t xml:space="preserve">Transmission burst containing DRS signals should consist of continuous OFDM symbols </w:t>
      </w:r>
    </w:p>
    <w:p w:rsidR="006B4DEE" w:rsidRPr="006D267F" w:rsidRDefault="006B4DEE" w:rsidP="006B4DEE">
      <w:pPr>
        <w:numPr>
          <w:ilvl w:val="2"/>
          <w:numId w:val="31"/>
        </w:numPr>
        <w:tabs>
          <w:tab w:val="left" w:pos="720"/>
        </w:tabs>
      </w:pPr>
      <w:r w:rsidRPr="006D267F">
        <w:rPr>
          <w:lang w:val="en-US"/>
        </w:rPr>
        <w:t xml:space="preserve">FFS: How to realize contiguous OFDM symbol transmission </w:t>
      </w:r>
    </w:p>
    <w:p w:rsidR="006B4DEE" w:rsidRPr="006D267F" w:rsidRDefault="006B4DEE" w:rsidP="006B4DEE">
      <w:pPr>
        <w:numPr>
          <w:ilvl w:val="0"/>
          <w:numId w:val="31"/>
        </w:numPr>
        <w:tabs>
          <w:tab w:val="left" w:pos="720"/>
        </w:tabs>
      </w:pPr>
      <w:r w:rsidRPr="006D267F">
        <w:rPr>
          <w:lang w:val="en-US"/>
        </w:rPr>
        <w:t xml:space="preserve">DRS design should allow DRS transmission on an LAA SCell to be subject to LBT </w:t>
      </w:r>
    </w:p>
    <w:p w:rsidR="006B4DEE" w:rsidRPr="006D267F" w:rsidRDefault="006B4DEE" w:rsidP="006B4DEE">
      <w:pPr>
        <w:numPr>
          <w:ilvl w:val="0"/>
          <w:numId w:val="31"/>
        </w:numPr>
        <w:tabs>
          <w:tab w:val="left" w:pos="720"/>
        </w:tabs>
      </w:pPr>
      <w:r w:rsidRPr="006D267F">
        <w:rPr>
          <w:lang w:val="en-US"/>
        </w:rPr>
        <w:t xml:space="preserve">Consider the following 2 options for the transmission of DRS within a DMTC window if LBT is applied to DRS </w:t>
      </w:r>
    </w:p>
    <w:p w:rsidR="006B4DEE" w:rsidRPr="006D267F" w:rsidRDefault="006B4DEE" w:rsidP="006B4DEE">
      <w:pPr>
        <w:numPr>
          <w:ilvl w:val="1"/>
          <w:numId w:val="31"/>
        </w:numPr>
        <w:tabs>
          <w:tab w:val="left" w:pos="720"/>
        </w:tabs>
      </w:pPr>
      <w:r w:rsidRPr="006D267F">
        <w:rPr>
          <w:lang w:val="en-US"/>
        </w:rPr>
        <w:lastRenderedPageBreak/>
        <w:t xml:space="preserve">Alt1: DRS is transmitted subjected to LBT in fixed subframe(s) within the configured DMTC </w:t>
      </w:r>
    </w:p>
    <w:p w:rsidR="006B4DEE" w:rsidRPr="006D267F" w:rsidRDefault="006B4DEE" w:rsidP="006B4DEE">
      <w:pPr>
        <w:numPr>
          <w:ilvl w:val="1"/>
          <w:numId w:val="31"/>
        </w:numPr>
        <w:tabs>
          <w:tab w:val="left" w:pos="720"/>
        </w:tabs>
      </w:pPr>
      <w:r w:rsidRPr="006D267F">
        <w:rPr>
          <w:lang w:val="en-US"/>
        </w:rPr>
        <w:t xml:space="preserve">Alt2: if LBT prevents transmission of DRS in the fixed subframe(s), allow the DRS to be transmitted in different subframe(s) within the configured DMTC if LBT succeeds </w:t>
      </w:r>
    </w:p>
    <w:p w:rsidR="006B4DEE" w:rsidRPr="006D267F" w:rsidRDefault="006B4DEE" w:rsidP="006B4DEE">
      <w:pPr>
        <w:numPr>
          <w:ilvl w:val="1"/>
          <w:numId w:val="31"/>
        </w:numPr>
        <w:tabs>
          <w:tab w:val="left" w:pos="720"/>
        </w:tabs>
      </w:pPr>
      <w:r w:rsidRPr="006D267F">
        <w:rPr>
          <w:lang w:val="en-US"/>
        </w:rPr>
        <w:t xml:space="preserve">Modifications to Rel-12 DMTC configuration are FFS </w:t>
      </w:r>
    </w:p>
    <w:p w:rsidR="006B4DEE" w:rsidRPr="007964D4" w:rsidRDefault="006B4DEE" w:rsidP="006B4DEE">
      <w:pPr>
        <w:numPr>
          <w:ilvl w:val="0"/>
          <w:numId w:val="31"/>
        </w:numPr>
        <w:tabs>
          <w:tab w:val="left" w:pos="720"/>
        </w:tabs>
      </w:pPr>
      <w:r w:rsidRPr="006D267F">
        <w:rPr>
          <w:lang w:val="en-US"/>
        </w:rPr>
        <w:t xml:space="preserve">Note: this does not preclude the possibility to allow other DRS transmissions outside of the configured DMTC </w:t>
      </w:r>
    </w:p>
    <w:p w:rsidR="006B4DEE" w:rsidRPr="00771FFE" w:rsidRDefault="006B4DEE" w:rsidP="00594FDF">
      <w:pPr>
        <w:rPr>
          <w:color w:val="000000"/>
          <w:lang w:val="en-US" w:eastAsia="zh-CN"/>
        </w:rPr>
      </w:pPr>
    </w:p>
    <w:sectPr w:rsidR="006B4DEE" w:rsidRPr="00771FFE"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F63" w:rsidRDefault="006B3F63">
      <w:r>
        <w:separator/>
      </w:r>
    </w:p>
  </w:endnote>
  <w:endnote w:type="continuationSeparator" w:id="0">
    <w:p w:rsidR="006B3F63" w:rsidRDefault="006B3F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71577">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871577" w:rsidRPr="00217773">
      <w:rPr>
        <w:rStyle w:val="PageNumber"/>
        <w:b/>
        <w:szCs w:val="22"/>
        <w:lang w:val="en-US"/>
      </w:rPr>
      <w:fldChar w:fldCharType="begin"/>
    </w:r>
    <w:r w:rsidRPr="00217773">
      <w:rPr>
        <w:rStyle w:val="PageNumber"/>
        <w:b/>
        <w:szCs w:val="22"/>
        <w:lang w:val="en-US"/>
      </w:rPr>
      <w:instrText xml:space="preserve"> PAGE </w:instrText>
    </w:r>
    <w:r w:rsidR="00871577" w:rsidRPr="00217773">
      <w:rPr>
        <w:rStyle w:val="PageNumber"/>
        <w:b/>
        <w:szCs w:val="22"/>
        <w:lang w:val="en-US"/>
      </w:rPr>
      <w:fldChar w:fldCharType="separate"/>
    </w:r>
    <w:r w:rsidR="00B344D6">
      <w:rPr>
        <w:rStyle w:val="PageNumber"/>
        <w:b/>
        <w:noProof/>
        <w:szCs w:val="22"/>
        <w:lang w:val="en-US"/>
      </w:rPr>
      <w:t>1</w:t>
    </w:r>
    <w:r w:rsidR="00871577"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F63" w:rsidRDefault="006B3F63">
      <w:r>
        <w:separator/>
      </w:r>
    </w:p>
  </w:footnote>
  <w:footnote w:type="continuationSeparator" w:id="0">
    <w:p w:rsidR="006B3F63" w:rsidRDefault="006B3F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715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715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7157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DC325FA"/>
    <w:multiLevelType w:val="hybridMultilevel"/>
    <w:tmpl w:val="5B7044E2"/>
    <w:lvl w:ilvl="0" w:tplc="E940D430">
      <w:start w:val="1"/>
      <w:numFmt w:val="bullet"/>
      <w:lvlText w:val="•"/>
      <w:lvlJc w:val="left"/>
      <w:pPr>
        <w:tabs>
          <w:tab w:val="num" w:pos="720"/>
        </w:tabs>
        <w:ind w:left="720" w:hanging="360"/>
      </w:pPr>
      <w:rPr>
        <w:rFonts w:ascii="Arial" w:hAnsi="Arial" w:hint="default"/>
      </w:rPr>
    </w:lvl>
    <w:lvl w:ilvl="1" w:tplc="EE143E0A">
      <w:start w:val="1116"/>
      <w:numFmt w:val="bullet"/>
      <w:lvlText w:val="–"/>
      <w:lvlJc w:val="left"/>
      <w:pPr>
        <w:tabs>
          <w:tab w:val="num" w:pos="1440"/>
        </w:tabs>
        <w:ind w:left="1440" w:hanging="360"/>
      </w:pPr>
      <w:rPr>
        <w:rFonts w:ascii="Arial" w:hAnsi="Arial" w:hint="default"/>
      </w:rPr>
    </w:lvl>
    <w:lvl w:ilvl="2" w:tplc="6E2E720C" w:tentative="1">
      <w:start w:val="1"/>
      <w:numFmt w:val="bullet"/>
      <w:lvlText w:val="•"/>
      <w:lvlJc w:val="left"/>
      <w:pPr>
        <w:tabs>
          <w:tab w:val="num" w:pos="2160"/>
        </w:tabs>
        <w:ind w:left="2160" w:hanging="360"/>
      </w:pPr>
      <w:rPr>
        <w:rFonts w:ascii="Arial" w:hAnsi="Arial" w:hint="default"/>
      </w:rPr>
    </w:lvl>
    <w:lvl w:ilvl="3" w:tplc="C6809D5E" w:tentative="1">
      <w:start w:val="1"/>
      <w:numFmt w:val="bullet"/>
      <w:lvlText w:val="•"/>
      <w:lvlJc w:val="left"/>
      <w:pPr>
        <w:tabs>
          <w:tab w:val="num" w:pos="2880"/>
        </w:tabs>
        <w:ind w:left="2880" w:hanging="360"/>
      </w:pPr>
      <w:rPr>
        <w:rFonts w:ascii="Arial" w:hAnsi="Arial" w:hint="default"/>
      </w:rPr>
    </w:lvl>
    <w:lvl w:ilvl="4" w:tplc="A87AC6E4" w:tentative="1">
      <w:start w:val="1"/>
      <w:numFmt w:val="bullet"/>
      <w:lvlText w:val="•"/>
      <w:lvlJc w:val="left"/>
      <w:pPr>
        <w:tabs>
          <w:tab w:val="num" w:pos="3600"/>
        </w:tabs>
        <w:ind w:left="3600" w:hanging="360"/>
      </w:pPr>
      <w:rPr>
        <w:rFonts w:ascii="Arial" w:hAnsi="Arial" w:hint="default"/>
      </w:rPr>
    </w:lvl>
    <w:lvl w:ilvl="5" w:tplc="A5F4209A" w:tentative="1">
      <w:start w:val="1"/>
      <w:numFmt w:val="bullet"/>
      <w:lvlText w:val="•"/>
      <w:lvlJc w:val="left"/>
      <w:pPr>
        <w:tabs>
          <w:tab w:val="num" w:pos="4320"/>
        </w:tabs>
        <w:ind w:left="4320" w:hanging="360"/>
      </w:pPr>
      <w:rPr>
        <w:rFonts w:ascii="Arial" w:hAnsi="Arial" w:hint="default"/>
      </w:rPr>
    </w:lvl>
    <w:lvl w:ilvl="6" w:tplc="F4F28BFC" w:tentative="1">
      <w:start w:val="1"/>
      <w:numFmt w:val="bullet"/>
      <w:lvlText w:val="•"/>
      <w:lvlJc w:val="left"/>
      <w:pPr>
        <w:tabs>
          <w:tab w:val="num" w:pos="5040"/>
        </w:tabs>
        <w:ind w:left="5040" w:hanging="360"/>
      </w:pPr>
      <w:rPr>
        <w:rFonts w:ascii="Arial" w:hAnsi="Arial" w:hint="default"/>
      </w:rPr>
    </w:lvl>
    <w:lvl w:ilvl="7" w:tplc="BBD0A662" w:tentative="1">
      <w:start w:val="1"/>
      <w:numFmt w:val="bullet"/>
      <w:lvlText w:val="•"/>
      <w:lvlJc w:val="left"/>
      <w:pPr>
        <w:tabs>
          <w:tab w:val="num" w:pos="5760"/>
        </w:tabs>
        <w:ind w:left="5760" w:hanging="360"/>
      </w:pPr>
      <w:rPr>
        <w:rFonts w:ascii="Arial" w:hAnsi="Arial" w:hint="default"/>
      </w:rPr>
    </w:lvl>
    <w:lvl w:ilvl="8" w:tplc="97A40DB6" w:tentative="1">
      <w:start w:val="1"/>
      <w:numFmt w:val="bullet"/>
      <w:lvlText w:val="•"/>
      <w:lvlJc w:val="left"/>
      <w:pPr>
        <w:tabs>
          <w:tab w:val="num" w:pos="6480"/>
        </w:tabs>
        <w:ind w:left="6480" w:hanging="360"/>
      </w:pPr>
      <w:rPr>
        <w:rFonts w:ascii="Arial" w:hAnsi="Arial"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B32D20"/>
    <w:multiLevelType w:val="hybridMultilevel"/>
    <w:tmpl w:val="383005A2"/>
    <w:lvl w:ilvl="0" w:tplc="B232AD92">
      <w:start w:val="9"/>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1CF3791"/>
    <w:multiLevelType w:val="hybridMultilevel"/>
    <w:tmpl w:val="FF5AC6E6"/>
    <w:lvl w:ilvl="0" w:tplc="DBBE85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E94D7E"/>
    <w:multiLevelType w:val="hybridMultilevel"/>
    <w:tmpl w:val="4AF2B7A0"/>
    <w:lvl w:ilvl="0" w:tplc="ED489E08">
      <w:start w:val="1"/>
      <w:numFmt w:val="bullet"/>
      <w:lvlText w:val="•"/>
      <w:lvlJc w:val="left"/>
      <w:pPr>
        <w:tabs>
          <w:tab w:val="num" w:pos="720"/>
        </w:tabs>
        <w:ind w:left="720" w:hanging="360"/>
      </w:pPr>
      <w:rPr>
        <w:rFonts w:ascii="Arial" w:hAnsi="Arial" w:hint="default"/>
      </w:rPr>
    </w:lvl>
    <w:lvl w:ilvl="1" w:tplc="224AE630">
      <w:start w:val="1149"/>
      <w:numFmt w:val="bullet"/>
      <w:lvlText w:val="–"/>
      <w:lvlJc w:val="left"/>
      <w:pPr>
        <w:tabs>
          <w:tab w:val="num" w:pos="1440"/>
        </w:tabs>
        <w:ind w:left="1440" w:hanging="360"/>
      </w:pPr>
      <w:rPr>
        <w:rFonts w:ascii="Arial" w:hAnsi="Arial" w:hint="default"/>
      </w:rPr>
    </w:lvl>
    <w:lvl w:ilvl="2" w:tplc="6ED2DAA8">
      <w:start w:val="1149"/>
      <w:numFmt w:val="bullet"/>
      <w:lvlText w:val="•"/>
      <w:lvlJc w:val="left"/>
      <w:pPr>
        <w:tabs>
          <w:tab w:val="num" w:pos="2160"/>
        </w:tabs>
        <w:ind w:left="2160" w:hanging="360"/>
      </w:pPr>
      <w:rPr>
        <w:rFonts w:ascii="Arial" w:hAnsi="Arial" w:hint="default"/>
      </w:rPr>
    </w:lvl>
    <w:lvl w:ilvl="3" w:tplc="F82C4F4A" w:tentative="1">
      <w:start w:val="1"/>
      <w:numFmt w:val="bullet"/>
      <w:lvlText w:val="•"/>
      <w:lvlJc w:val="left"/>
      <w:pPr>
        <w:tabs>
          <w:tab w:val="num" w:pos="2880"/>
        </w:tabs>
        <w:ind w:left="2880" w:hanging="360"/>
      </w:pPr>
      <w:rPr>
        <w:rFonts w:ascii="Arial" w:hAnsi="Arial" w:hint="default"/>
      </w:rPr>
    </w:lvl>
    <w:lvl w:ilvl="4" w:tplc="5A66708A" w:tentative="1">
      <w:start w:val="1"/>
      <w:numFmt w:val="bullet"/>
      <w:lvlText w:val="•"/>
      <w:lvlJc w:val="left"/>
      <w:pPr>
        <w:tabs>
          <w:tab w:val="num" w:pos="3600"/>
        </w:tabs>
        <w:ind w:left="3600" w:hanging="360"/>
      </w:pPr>
      <w:rPr>
        <w:rFonts w:ascii="Arial" w:hAnsi="Arial" w:hint="default"/>
      </w:rPr>
    </w:lvl>
    <w:lvl w:ilvl="5" w:tplc="F39AE4DA" w:tentative="1">
      <w:start w:val="1"/>
      <w:numFmt w:val="bullet"/>
      <w:lvlText w:val="•"/>
      <w:lvlJc w:val="left"/>
      <w:pPr>
        <w:tabs>
          <w:tab w:val="num" w:pos="4320"/>
        </w:tabs>
        <w:ind w:left="4320" w:hanging="360"/>
      </w:pPr>
      <w:rPr>
        <w:rFonts w:ascii="Arial" w:hAnsi="Arial" w:hint="default"/>
      </w:rPr>
    </w:lvl>
    <w:lvl w:ilvl="6" w:tplc="15667290" w:tentative="1">
      <w:start w:val="1"/>
      <w:numFmt w:val="bullet"/>
      <w:lvlText w:val="•"/>
      <w:lvlJc w:val="left"/>
      <w:pPr>
        <w:tabs>
          <w:tab w:val="num" w:pos="5040"/>
        </w:tabs>
        <w:ind w:left="5040" w:hanging="360"/>
      </w:pPr>
      <w:rPr>
        <w:rFonts w:ascii="Arial" w:hAnsi="Arial" w:hint="default"/>
      </w:rPr>
    </w:lvl>
    <w:lvl w:ilvl="7" w:tplc="7118FE46" w:tentative="1">
      <w:start w:val="1"/>
      <w:numFmt w:val="bullet"/>
      <w:lvlText w:val="•"/>
      <w:lvlJc w:val="left"/>
      <w:pPr>
        <w:tabs>
          <w:tab w:val="num" w:pos="5760"/>
        </w:tabs>
        <w:ind w:left="5760" w:hanging="360"/>
      </w:pPr>
      <w:rPr>
        <w:rFonts w:ascii="Arial" w:hAnsi="Arial" w:hint="default"/>
      </w:rPr>
    </w:lvl>
    <w:lvl w:ilvl="8" w:tplc="78A83D64" w:tentative="1">
      <w:start w:val="1"/>
      <w:numFmt w:val="bullet"/>
      <w:lvlText w:val="•"/>
      <w:lvlJc w:val="left"/>
      <w:pPr>
        <w:tabs>
          <w:tab w:val="num" w:pos="6480"/>
        </w:tabs>
        <w:ind w:left="6480" w:hanging="360"/>
      </w:pPr>
      <w:rPr>
        <w:rFonts w:ascii="Arial" w:hAnsi="Arial" w:hint="default"/>
      </w:rPr>
    </w:lvl>
  </w:abstractNum>
  <w:abstractNum w:abstractNumId="18">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0">
    <w:nsid w:val="3E2B45C6"/>
    <w:multiLevelType w:val="hybridMultilevel"/>
    <w:tmpl w:val="FFA620EE"/>
    <w:lvl w:ilvl="0" w:tplc="BA9EBA04">
      <w:start w:val="1"/>
      <w:numFmt w:val="bullet"/>
      <w:lvlText w:val="•"/>
      <w:lvlJc w:val="left"/>
      <w:pPr>
        <w:tabs>
          <w:tab w:val="num" w:pos="720"/>
        </w:tabs>
        <w:ind w:left="720" w:hanging="360"/>
      </w:pPr>
      <w:rPr>
        <w:rFonts w:ascii="Arial" w:hAnsi="Arial" w:hint="default"/>
      </w:rPr>
    </w:lvl>
    <w:lvl w:ilvl="1" w:tplc="D0D03ED8">
      <w:start w:val="1"/>
      <w:numFmt w:val="bullet"/>
      <w:lvlText w:val="•"/>
      <w:lvlJc w:val="left"/>
      <w:pPr>
        <w:tabs>
          <w:tab w:val="num" w:pos="1440"/>
        </w:tabs>
        <w:ind w:left="1440" w:hanging="360"/>
      </w:pPr>
      <w:rPr>
        <w:rFonts w:ascii="Arial" w:hAnsi="Arial" w:hint="default"/>
      </w:rPr>
    </w:lvl>
    <w:lvl w:ilvl="2" w:tplc="658C03FC">
      <w:start w:val="1"/>
      <w:numFmt w:val="bullet"/>
      <w:lvlText w:val="•"/>
      <w:lvlJc w:val="left"/>
      <w:pPr>
        <w:tabs>
          <w:tab w:val="num" w:pos="2160"/>
        </w:tabs>
        <w:ind w:left="2160" w:hanging="360"/>
      </w:pPr>
      <w:rPr>
        <w:rFonts w:ascii="Arial" w:hAnsi="Arial" w:hint="default"/>
      </w:rPr>
    </w:lvl>
    <w:lvl w:ilvl="3" w:tplc="218EBF90" w:tentative="1">
      <w:start w:val="1"/>
      <w:numFmt w:val="bullet"/>
      <w:lvlText w:val="•"/>
      <w:lvlJc w:val="left"/>
      <w:pPr>
        <w:tabs>
          <w:tab w:val="num" w:pos="2880"/>
        </w:tabs>
        <w:ind w:left="2880" w:hanging="360"/>
      </w:pPr>
      <w:rPr>
        <w:rFonts w:ascii="Arial" w:hAnsi="Arial" w:hint="default"/>
      </w:rPr>
    </w:lvl>
    <w:lvl w:ilvl="4" w:tplc="A138587E" w:tentative="1">
      <w:start w:val="1"/>
      <w:numFmt w:val="bullet"/>
      <w:lvlText w:val="•"/>
      <w:lvlJc w:val="left"/>
      <w:pPr>
        <w:tabs>
          <w:tab w:val="num" w:pos="3600"/>
        </w:tabs>
        <w:ind w:left="3600" w:hanging="360"/>
      </w:pPr>
      <w:rPr>
        <w:rFonts w:ascii="Arial" w:hAnsi="Arial" w:hint="default"/>
      </w:rPr>
    </w:lvl>
    <w:lvl w:ilvl="5" w:tplc="3D986EFE" w:tentative="1">
      <w:start w:val="1"/>
      <w:numFmt w:val="bullet"/>
      <w:lvlText w:val="•"/>
      <w:lvlJc w:val="left"/>
      <w:pPr>
        <w:tabs>
          <w:tab w:val="num" w:pos="4320"/>
        </w:tabs>
        <w:ind w:left="4320" w:hanging="360"/>
      </w:pPr>
      <w:rPr>
        <w:rFonts w:ascii="Arial" w:hAnsi="Arial" w:hint="default"/>
      </w:rPr>
    </w:lvl>
    <w:lvl w:ilvl="6" w:tplc="8F1A71C4" w:tentative="1">
      <w:start w:val="1"/>
      <w:numFmt w:val="bullet"/>
      <w:lvlText w:val="•"/>
      <w:lvlJc w:val="left"/>
      <w:pPr>
        <w:tabs>
          <w:tab w:val="num" w:pos="5040"/>
        </w:tabs>
        <w:ind w:left="5040" w:hanging="360"/>
      </w:pPr>
      <w:rPr>
        <w:rFonts w:ascii="Arial" w:hAnsi="Arial" w:hint="default"/>
      </w:rPr>
    </w:lvl>
    <w:lvl w:ilvl="7" w:tplc="FDB25EC8" w:tentative="1">
      <w:start w:val="1"/>
      <w:numFmt w:val="bullet"/>
      <w:lvlText w:val="•"/>
      <w:lvlJc w:val="left"/>
      <w:pPr>
        <w:tabs>
          <w:tab w:val="num" w:pos="5760"/>
        </w:tabs>
        <w:ind w:left="5760" w:hanging="360"/>
      </w:pPr>
      <w:rPr>
        <w:rFonts w:ascii="Arial" w:hAnsi="Arial" w:hint="default"/>
      </w:rPr>
    </w:lvl>
    <w:lvl w:ilvl="8" w:tplc="8D5443CE" w:tentative="1">
      <w:start w:val="1"/>
      <w:numFmt w:val="bullet"/>
      <w:lvlText w:val="•"/>
      <w:lvlJc w:val="left"/>
      <w:pPr>
        <w:tabs>
          <w:tab w:val="num" w:pos="6480"/>
        </w:tabs>
        <w:ind w:left="6480" w:hanging="360"/>
      </w:pPr>
      <w:rPr>
        <w:rFonts w:ascii="Arial" w:hAnsi="Arial" w:hint="default"/>
      </w:rPr>
    </w:lvl>
  </w:abstractNum>
  <w:abstractNum w:abstractNumId="21">
    <w:nsid w:val="45C42FCA"/>
    <w:multiLevelType w:val="hybridMultilevel"/>
    <w:tmpl w:val="4C9A4342"/>
    <w:lvl w:ilvl="0" w:tplc="B2AAB306">
      <w:start w:val="1"/>
      <w:numFmt w:val="bullet"/>
      <w:lvlText w:val="•"/>
      <w:lvlJc w:val="left"/>
      <w:pPr>
        <w:tabs>
          <w:tab w:val="num" w:pos="720"/>
        </w:tabs>
        <w:ind w:left="720" w:hanging="360"/>
      </w:pPr>
      <w:rPr>
        <w:rFonts w:ascii="Arial" w:hAnsi="Arial" w:hint="default"/>
      </w:rPr>
    </w:lvl>
    <w:lvl w:ilvl="1" w:tplc="66820784" w:tentative="1">
      <w:start w:val="1"/>
      <w:numFmt w:val="bullet"/>
      <w:lvlText w:val="•"/>
      <w:lvlJc w:val="left"/>
      <w:pPr>
        <w:tabs>
          <w:tab w:val="num" w:pos="1440"/>
        </w:tabs>
        <w:ind w:left="1440" w:hanging="360"/>
      </w:pPr>
      <w:rPr>
        <w:rFonts w:ascii="Arial" w:hAnsi="Arial" w:hint="default"/>
      </w:rPr>
    </w:lvl>
    <w:lvl w:ilvl="2" w:tplc="B330AF3A" w:tentative="1">
      <w:start w:val="1"/>
      <w:numFmt w:val="bullet"/>
      <w:lvlText w:val="•"/>
      <w:lvlJc w:val="left"/>
      <w:pPr>
        <w:tabs>
          <w:tab w:val="num" w:pos="2160"/>
        </w:tabs>
        <w:ind w:left="2160" w:hanging="360"/>
      </w:pPr>
      <w:rPr>
        <w:rFonts w:ascii="Arial" w:hAnsi="Arial" w:hint="default"/>
      </w:rPr>
    </w:lvl>
    <w:lvl w:ilvl="3" w:tplc="E2E03906" w:tentative="1">
      <w:start w:val="1"/>
      <w:numFmt w:val="bullet"/>
      <w:lvlText w:val="•"/>
      <w:lvlJc w:val="left"/>
      <w:pPr>
        <w:tabs>
          <w:tab w:val="num" w:pos="2880"/>
        </w:tabs>
        <w:ind w:left="2880" w:hanging="360"/>
      </w:pPr>
      <w:rPr>
        <w:rFonts w:ascii="Arial" w:hAnsi="Arial" w:hint="default"/>
      </w:rPr>
    </w:lvl>
    <w:lvl w:ilvl="4" w:tplc="25FCBD68" w:tentative="1">
      <w:start w:val="1"/>
      <w:numFmt w:val="bullet"/>
      <w:lvlText w:val="•"/>
      <w:lvlJc w:val="left"/>
      <w:pPr>
        <w:tabs>
          <w:tab w:val="num" w:pos="3600"/>
        </w:tabs>
        <w:ind w:left="3600" w:hanging="360"/>
      </w:pPr>
      <w:rPr>
        <w:rFonts w:ascii="Arial" w:hAnsi="Arial" w:hint="default"/>
      </w:rPr>
    </w:lvl>
    <w:lvl w:ilvl="5" w:tplc="E8B61D80" w:tentative="1">
      <w:start w:val="1"/>
      <w:numFmt w:val="bullet"/>
      <w:lvlText w:val="•"/>
      <w:lvlJc w:val="left"/>
      <w:pPr>
        <w:tabs>
          <w:tab w:val="num" w:pos="4320"/>
        </w:tabs>
        <w:ind w:left="4320" w:hanging="360"/>
      </w:pPr>
      <w:rPr>
        <w:rFonts w:ascii="Arial" w:hAnsi="Arial" w:hint="default"/>
      </w:rPr>
    </w:lvl>
    <w:lvl w:ilvl="6" w:tplc="26F87CA8" w:tentative="1">
      <w:start w:val="1"/>
      <w:numFmt w:val="bullet"/>
      <w:lvlText w:val="•"/>
      <w:lvlJc w:val="left"/>
      <w:pPr>
        <w:tabs>
          <w:tab w:val="num" w:pos="5040"/>
        </w:tabs>
        <w:ind w:left="5040" w:hanging="360"/>
      </w:pPr>
      <w:rPr>
        <w:rFonts w:ascii="Arial" w:hAnsi="Arial" w:hint="default"/>
      </w:rPr>
    </w:lvl>
    <w:lvl w:ilvl="7" w:tplc="D7C8A6CA" w:tentative="1">
      <w:start w:val="1"/>
      <w:numFmt w:val="bullet"/>
      <w:lvlText w:val="•"/>
      <w:lvlJc w:val="left"/>
      <w:pPr>
        <w:tabs>
          <w:tab w:val="num" w:pos="5760"/>
        </w:tabs>
        <w:ind w:left="5760" w:hanging="360"/>
      </w:pPr>
      <w:rPr>
        <w:rFonts w:ascii="Arial" w:hAnsi="Arial" w:hint="default"/>
      </w:rPr>
    </w:lvl>
    <w:lvl w:ilvl="8" w:tplc="1B04C506"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6">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7">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6"/>
  </w:num>
  <w:num w:numId="3">
    <w:abstractNumId w:val="25"/>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9"/>
  </w:num>
  <w:num w:numId="15">
    <w:abstractNumId w:val="23"/>
  </w:num>
  <w:num w:numId="16">
    <w:abstractNumId w:val="33"/>
  </w:num>
  <w:num w:numId="17">
    <w:abstractNumId w:val="24"/>
  </w:num>
  <w:num w:numId="18">
    <w:abstractNumId w:val="22"/>
  </w:num>
  <w:num w:numId="19">
    <w:abstractNumId w:val="31"/>
  </w:num>
  <w:num w:numId="20">
    <w:abstractNumId w:val="19"/>
  </w:num>
  <w:num w:numId="21">
    <w:abstractNumId w:val="12"/>
  </w:num>
  <w:num w:numId="22">
    <w:abstractNumId w:val="10"/>
  </w:num>
  <w:num w:numId="23">
    <w:abstractNumId w:val="13"/>
  </w:num>
  <w:num w:numId="24">
    <w:abstractNumId w:val="18"/>
  </w:num>
  <w:num w:numId="25">
    <w:abstractNumId w:val="16"/>
  </w:num>
  <w:num w:numId="26">
    <w:abstractNumId w:val="27"/>
  </w:num>
  <w:num w:numId="27">
    <w:abstractNumId w:val="30"/>
  </w:num>
  <w:num w:numId="28">
    <w:abstractNumId w:val="28"/>
  </w:num>
  <w:num w:numId="29">
    <w:abstractNumId w:val="15"/>
  </w:num>
  <w:num w:numId="30">
    <w:abstractNumId w:val="14"/>
  </w:num>
  <w:num w:numId="31">
    <w:abstractNumId w:val="20"/>
  </w:num>
  <w:num w:numId="32">
    <w:abstractNumId w:val="21"/>
  </w:num>
  <w:num w:numId="33">
    <w:abstractNumId w:val="17"/>
  </w:num>
  <w:num w:numId="34">
    <w:abstractNumId w:val="1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7"/>
  <w:doNotDisplayPageBoundaries/>
  <w:embedSystemFonts/>
  <w:bordersDoNotSurroundHeader/>
  <w:bordersDoNotSurroundFooter/>
  <w:proofState w:spelling="clean" w:grammar="clean"/>
  <w:stylePaneFormatFilter w:val="3F01"/>
  <w:trackRevision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32770"/>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E16"/>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5DE"/>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00C"/>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0915"/>
    <w:rsid w:val="000C0C8D"/>
    <w:rsid w:val="000C1BF6"/>
    <w:rsid w:val="000C214B"/>
    <w:rsid w:val="000C2887"/>
    <w:rsid w:val="000C2EE3"/>
    <w:rsid w:val="000C33AF"/>
    <w:rsid w:val="000C36C9"/>
    <w:rsid w:val="000C43B1"/>
    <w:rsid w:val="000C47C1"/>
    <w:rsid w:val="000C5118"/>
    <w:rsid w:val="000C5156"/>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5DDA"/>
    <w:rsid w:val="000D6799"/>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59B"/>
    <w:rsid w:val="0015460C"/>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2E"/>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5AA4"/>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1D"/>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4E1E"/>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1CF"/>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1E7"/>
    <w:rsid w:val="002B2856"/>
    <w:rsid w:val="002B28FC"/>
    <w:rsid w:val="002B3197"/>
    <w:rsid w:val="002B3BEC"/>
    <w:rsid w:val="002B3C7E"/>
    <w:rsid w:val="002B57B1"/>
    <w:rsid w:val="002B59F8"/>
    <w:rsid w:val="002B5A6E"/>
    <w:rsid w:val="002B6592"/>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7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1DD3"/>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5F6"/>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6F58"/>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1C4D"/>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67E"/>
    <w:rsid w:val="00465E40"/>
    <w:rsid w:val="00466E21"/>
    <w:rsid w:val="00467138"/>
    <w:rsid w:val="0046718C"/>
    <w:rsid w:val="0046744E"/>
    <w:rsid w:val="004675B1"/>
    <w:rsid w:val="00467EEF"/>
    <w:rsid w:val="004701DF"/>
    <w:rsid w:val="0047030C"/>
    <w:rsid w:val="00470F26"/>
    <w:rsid w:val="004716AF"/>
    <w:rsid w:val="00471ADD"/>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3CB9"/>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6B05"/>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23F3"/>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579"/>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3E8D"/>
    <w:rsid w:val="00534685"/>
    <w:rsid w:val="00534FDD"/>
    <w:rsid w:val="005350B5"/>
    <w:rsid w:val="00535DC6"/>
    <w:rsid w:val="00535DF9"/>
    <w:rsid w:val="0054075A"/>
    <w:rsid w:val="00540FF1"/>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652"/>
    <w:rsid w:val="0055280A"/>
    <w:rsid w:val="00552A44"/>
    <w:rsid w:val="0055322B"/>
    <w:rsid w:val="0055423F"/>
    <w:rsid w:val="005553FA"/>
    <w:rsid w:val="0055548F"/>
    <w:rsid w:val="00555FCA"/>
    <w:rsid w:val="0055661D"/>
    <w:rsid w:val="00556B5F"/>
    <w:rsid w:val="00557084"/>
    <w:rsid w:val="005579D1"/>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51D5"/>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434"/>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14E"/>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5C"/>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60001C"/>
    <w:rsid w:val="006000AF"/>
    <w:rsid w:val="006004D9"/>
    <w:rsid w:val="00600D3E"/>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5E6"/>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240D"/>
    <w:rsid w:val="00632AE6"/>
    <w:rsid w:val="00632FFB"/>
    <w:rsid w:val="00633022"/>
    <w:rsid w:val="00633C01"/>
    <w:rsid w:val="00633CD2"/>
    <w:rsid w:val="00633E3A"/>
    <w:rsid w:val="00633E44"/>
    <w:rsid w:val="00634603"/>
    <w:rsid w:val="00636B0F"/>
    <w:rsid w:val="00636C6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3CB"/>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BBC"/>
    <w:rsid w:val="00697CB4"/>
    <w:rsid w:val="00697FC5"/>
    <w:rsid w:val="006A06EE"/>
    <w:rsid w:val="006A07F0"/>
    <w:rsid w:val="006A0A0C"/>
    <w:rsid w:val="006A0F86"/>
    <w:rsid w:val="006A19CC"/>
    <w:rsid w:val="006A1FC0"/>
    <w:rsid w:val="006A29DE"/>
    <w:rsid w:val="006A3947"/>
    <w:rsid w:val="006A4758"/>
    <w:rsid w:val="006A516F"/>
    <w:rsid w:val="006A520F"/>
    <w:rsid w:val="006A56F7"/>
    <w:rsid w:val="006A5D0D"/>
    <w:rsid w:val="006A5EB5"/>
    <w:rsid w:val="006A5EE9"/>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3F63"/>
    <w:rsid w:val="006B4DEE"/>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67F"/>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C0D"/>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7D2"/>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6F61"/>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201"/>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AAF"/>
    <w:rsid w:val="00777A8B"/>
    <w:rsid w:val="00777B7D"/>
    <w:rsid w:val="00777C14"/>
    <w:rsid w:val="00777CDA"/>
    <w:rsid w:val="00780C92"/>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4D4"/>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5BE"/>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5DDB"/>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3F81"/>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30D1"/>
    <w:rsid w:val="00863100"/>
    <w:rsid w:val="00863346"/>
    <w:rsid w:val="00863999"/>
    <w:rsid w:val="00863A04"/>
    <w:rsid w:val="00865561"/>
    <w:rsid w:val="0086691F"/>
    <w:rsid w:val="00866B7C"/>
    <w:rsid w:val="00866DE1"/>
    <w:rsid w:val="008674C3"/>
    <w:rsid w:val="008676CA"/>
    <w:rsid w:val="00870069"/>
    <w:rsid w:val="00870EAA"/>
    <w:rsid w:val="0087131D"/>
    <w:rsid w:val="00871577"/>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2CD0"/>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494"/>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72E"/>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222A"/>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38"/>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15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7D2"/>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57F9"/>
    <w:rsid w:val="00A75B69"/>
    <w:rsid w:val="00A76707"/>
    <w:rsid w:val="00A7681B"/>
    <w:rsid w:val="00A769AC"/>
    <w:rsid w:val="00A769D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38F2"/>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32E6"/>
    <w:rsid w:val="00AF3B75"/>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4D6"/>
    <w:rsid w:val="00B346EC"/>
    <w:rsid w:val="00B34B76"/>
    <w:rsid w:val="00B352C9"/>
    <w:rsid w:val="00B35E3C"/>
    <w:rsid w:val="00B36803"/>
    <w:rsid w:val="00B36D3A"/>
    <w:rsid w:val="00B37758"/>
    <w:rsid w:val="00B37830"/>
    <w:rsid w:val="00B400E7"/>
    <w:rsid w:val="00B40239"/>
    <w:rsid w:val="00B402AD"/>
    <w:rsid w:val="00B4082C"/>
    <w:rsid w:val="00B409D5"/>
    <w:rsid w:val="00B40D9D"/>
    <w:rsid w:val="00B414B7"/>
    <w:rsid w:val="00B41539"/>
    <w:rsid w:val="00B416BB"/>
    <w:rsid w:val="00B41816"/>
    <w:rsid w:val="00B43454"/>
    <w:rsid w:val="00B43528"/>
    <w:rsid w:val="00B4369D"/>
    <w:rsid w:val="00B43B39"/>
    <w:rsid w:val="00B44132"/>
    <w:rsid w:val="00B46649"/>
    <w:rsid w:val="00B46807"/>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87D81"/>
    <w:rsid w:val="00B91C77"/>
    <w:rsid w:val="00B91C8C"/>
    <w:rsid w:val="00B9259A"/>
    <w:rsid w:val="00B9351C"/>
    <w:rsid w:val="00B9380C"/>
    <w:rsid w:val="00B94041"/>
    <w:rsid w:val="00B94099"/>
    <w:rsid w:val="00B9477B"/>
    <w:rsid w:val="00B94BAB"/>
    <w:rsid w:val="00B94F7B"/>
    <w:rsid w:val="00B959E4"/>
    <w:rsid w:val="00B95DE8"/>
    <w:rsid w:val="00B9640E"/>
    <w:rsid w:val="00B96644"/>
    <w:rsid w:val="00B96744"/>
    <w:rsid w:val="00B967C0"/>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10"/>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DF"/>
    <w:rsid w:val="00C660FC"/>
    <w:rsid w:val="00C66137"/>
    <w:rsid w:val="00C66363"/>
    <w:rsid w:val="00C67BCA"/>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3BE3"/>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27C"/>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19BE"/>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2CFE"/>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6C21"/>
    <w:rsid w:val="00D3708D"/>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017"/>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813"/>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5B6"/>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7E2"/>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2F5C"/>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353"/>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2012"/>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31B"/>
    <w:rsid w:val="00F71BA2"/>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17E"/>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1CFC"/>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link w:val="TitleChar"/>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 w:type="character" w:customStyle="1" w:styleId="TitleChar">
    <w:name w:val="Title Char"/>
    <w:basedOn w:val="DefaultParagraphFont"/>
    <w:link w:val="Title"/>
    <w:rsid w:val="007D5DDB"/>
    <w:rPr>
      <w:rFonts w:ascii="Arial" w:hAnsi="Arial"/>
      <w:b/>
      <w:kern w:val="28"/>
      <w:sz w:val="24"/>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985011343">
      <w:bodyDiv w:val="1"/>
      <w:marLeft w:val="0"/>
      <w:marRight w:val="0"/>
      <w:marTop w:val="0"/>
      <w:marBottom w:val="0"/>
      <w:divBdr>
        <w:top w:val="none" w:sz="0" w:space="0" w:color="auto"/>
        <w:left w:val="none" w:sz="0" w:space="0" w:color="auto"/>
        <w:bottom w:val="none" w:sz="0" w:space="0" w:color="auto"/>
        <w:right w:val="none" w:sz="0" w:space="0" w:color="auto"/>
      </w:divBdr>
      <w:divsChild>
        <w:div w:id="1475830244">
          <w:marLeft w:val="547"/>
          <w:marRight w:val="0"/>
          <w:marTop w:val="0"/>
          <w:marBottom w:val="0"/>
          <w:divBdr>
            <w:top w:val="none" w:sz="0" w:space="0" w:color="auto"/>
            <w:left w:val="none" w:sz="0" w:space="0" w:color="auto"/>
            <w:bottom w:val="none" w:sz="0" w:space="0" w:color="auto"/>
            <w:right w:val="none" w:sz="0" w:space="0" w:color="auto"/>
          </w:divBdr>
        </w:div>
        <w:div w:id="413817530">
          <w:marLeft w:val="1166"/>
          <w:marRight w:val="0"/>
          <w:marTop w:val="0"/>
          <w:marBottom w:val="0"/>
          <w:divBdr>
            <w:top w:val="none" w:sz="0" w:space="0" w:color="auto"/>
            <w:left w:val="none" w:sz="0" w:space="0" w:color="auto"/>
            <w:bottom w:val="none" w:sz="0" w:space="0" w:color="auto"/>
            <w:right w:val="none" w:sz="0" w:space="0" w:color="auto"/>
          </w:divBdr>
        </w:div>
        <w:div w:id="739447577">
          <w:marLeft w:val="1166"/>
          <w:marRight w:val="0"/>
          <w:marTop w:val="0"/>
          <w:marBottom w:val="0"/>
          <w:divBdr>
            <w:top w:val="none" w:sz="0" w:space="0" w:color="auto"/>
            <w:left w:val="none" w:sz="0" w:space="0" w:color="auto"/>
            <w:bottom w:val="none" w:sz="0" w:space="0" w:color="auto"/>
            <w:right w:val="none" w:sz="0" w:space="0" w:color="auto"/>
          </w:divBdr>
        </w:div>
        <w:div w:id="639728037">
          <w:marLeft w:val="1800"/>
          <w:marRight w:val="0"/>
          <w:marTop w:val="0"/>
          <w:marBottom w:val="0"/>
          <w:divBdr>
            <w:top w:val="none" w:sz="0" w:space="0" w:color="auto"/>
            <w:left w:val="none" w:sz="0" w:space="0" w:color="auto"/>
            <w:bottom w:val="none" w:sz="0" w:space="0" w:color="auto"/>
            <w:right w:val="none" w:sz="0" w:space="0" w:color="auto"/>
          </w:divBdr>
        </w:div>
        <w:div w:id="1509368477">
          <w:marLeft w:val="1166"/>
          <w:marRight w:val="0"/>
          <w:marTop w:val="0"/>
          <w:marBottom w:val="0"/>
          <w:divBdr>
            <w:top w:val="none" w:sz="0" w:space="0" w:color="auto"/>
            <w:left w:val="none" w:sz="0" w:space="0" w:color="auto"/>
            <w:bottom w:val="none" w:sz="0" w:space="0" w:color="auto"/>
            <w:right w:val="none" w:sz="0" w:space="0" w:color="auto"/>
          </w:divBdr>
        </w:div>
        <w:div w:id="2105300522">
          <w:marLeft w:val="1800"/>
          <w:marRight w:val="0"/>
          <w:marTop w:val="0"/>
          <w:marBottom w:val="0"/>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18974396">
      <w:bodyDiv w:val="1"/>
      <w:marLeft w:val="0"/>
      <w:marRight w:val="0"/>
      <w:marTop w:val="0"/>
      <w:marBottom w:val="0"/>
      <w:divBdr>
        <w:top w:val="none" w:sz="0" w:space="0" w:color="auto"/>
        <w:left w:val="none" w:sz="0" w:space="0" w:color="auto"/>
        <w:bottom w:val="none" w:sz="0" w:space="0" w:color="auto"/>
        <w:right w:val="none" w:sz="0" w:space="0" w:color="auto"/>
      </w:divBdr>
      <w:divsChild>
        <w:div w:id="490217217">
          <w:marLeft w:val="547"/>
          <w:marRight w:val="0"/>
          <w:marTop w:val="0"/>
          <w:marBottom w:val="0"/>
          <w:divBdr>
            <w:top w:val="none" w:sz="0" w:space="0" w:color="auto"/>
            <w:left w:val="none" w:sz="0" w:space="0" w:color="auto"/>
            <w:bottom w:val="none" w:sz="0" w:space="0" w:color="auto"/>
            <w:right w:val="none" w:sz="0" w:space="0" w:color="auto"/>
          </w:divBdr>
        </w:div>
        <w:div w:id="158231891">
          <w:marLeft w:val="547"/>
          <w:marRight w:val="0"/>
          <w:marTop w:val="0"/>
          <w:marBottom w:val="0"/>
          <w:divBdr>
            <w:top w:val="none" w:sz="0" w:space="0" w:color="auto"/>
            <w:left w:val="none" w:sz="0" w:space="0" w:color="auto"/>
            <w:bottom w:val="none" w:sz="0" w:space="0" w:color="auto"/>
            <w:right w:val="none" w:sz="0" w:space="0" w:color="auto"/>
          </w:divBdr>
        </w:div>
        <w:div w:id="546843168">
          <w:marLeft w:val="1166"/>
          <w:marRight w:val="0"/>
          <w:marTop w:val="0"/>
          <w:marBottom w:val="0"/>
          <w:divBdr>
            <w:top w:val="none" w:sz="0" w:space="0" w:color="auto"/>
            <w:left w:val="none" w:sz="0" w:space="0" w:color="auto"/>
            <w:bottom w:val="none" w:sz="0" w:space="0" w:color="auto"/>
            <w:right w:val="none" w:sz="0" w:space="0" w:color="auto"/>
          </w:divBdr>
        </w:div>
        <w:div w:id="450588191">
          <w:marLeft w:val="1166"/>
          <w:marRight w:val="0"/>
          <w:marTop w:val="0"/>
          <w:marBottom w:val="0"/>
          <w:divBdr>
            <w:top w:val="none" w:sz="0" w:space="0" w:color="auto"/>
            <w:left w:val="none" w:sz="0" w:space="0" w:color="auto"/>
            <w:bottom w:val="none" w:sz="0" w:space="0" w:color="auto"/>
            <w:right w:val="none" w:sz="0" w:space="0" w:color="auto"/>
          </w:divBdr>
        </w:div>
        <w:div w:id="1304653481">
          <w:marLeft w:val="1166"/>
          <w:marRight w:val="0"/>
          <w:marTop w:val="0"/>
          <w:marBottom w:val="0"/>
          <w:divBdr>
            <w:top w:val="none" w:sz="0" w:space="0" w:color="auto"/>
            <w:left w:val="none" w:sz="0" w:space="0" w:color="auto"/>
            <w:bottom w:val="none" w:sz="0" w:space="0" w:color="auto"/>
            <w:right w:val="none" w:sz="0" w:space="0" w:color="auto"/>
          </w:divBdr>
        </w:div>
        <w:div w:id="64501185">
          <w:marLeft w:val="547"/>
          <w:marRight w:val="0"/>
          <w:marTop w:val="0"/>
          <w:marBottom w:val="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387752942">
      <w:bodyDiv w:val="1"/>
      <w:marLeft w:val="0"/>
      <w:marRight w:val="0"/>
      <w:marTop w:val="0"/>
      <w:marBottom w:val="0"/>
      <w:divBdr>
        <w:top w:val="none" w:sz="0" w:space="0" w:color="auto"/>
        <w:left w:val="none" w:sz="0" w:space="0" w:color="auto"/>
        <w:bottom w:val="none" w:sz="0" w:space="0" w:color="auto"/>
        <w:right w:val="none" w:sz="0" w:space="0" w:color="auto"/>
      </w:divBdr>
      <w:divsChild>
        <w:div w:id="117184165">
          <w:marLeft w:val="547"/>
          <w:marRight w:val="0"/>
          <w:marTop w:val="0"/>
          <w:marBottom w:val="0"/>
          <w:divBdr>
            <w:top w:val="none" w:sz="0" w:space="0" w:color="auto"/>
            <w:left w:val="none" w:sz="0" w:space="0" w:color="auto"/>
            <w:bottom w:val="none" w:sz="0" w:space="0" w:color="auto"/>
            <w:right w:val="none" w:sz="0" w:space="0" w:color="auto"/>
          </w:divBdr>
        </w:div>
      </w:divsChild>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42405721">
      <w:bodyDiv w:val="1"/>
      <w:marLeft w:val="0"/>
      <w:marRight w:val="0"/>
      <w:marTop w:val="0"/>
      <w:marBottom w:val="0"/>
      <w:divBdr>
        <w:top w:val="none" w:sz="0" w:space="0" w:color="auto"/>
        <w:left w:val="none" w:sz="0" w:space="0" w:color="auto"/>
        <w:bottom w:val="none" w:sz="0" w:space="0" w:color="auto"/>
        <w:right w:val="none" w:sz="0" w:space="0" w:color="auto"/>
      </w:divBdr>
      <w:divsChild>
        <w:div w:id="1569417683">
          <w:marLeft w:val="547"/>
          <w:marRight w:val="0"/>
          <w:marTop w:val="0"/>
          <w:marBottom w:val="0"/>
          <w:divBdr>
            <w:top w:val="none" w:sz="0" w:space="0" w:color="auto"/>
            <w:left w:val="none" w:sz="0" w:space="0" w:color="auto"/>
            <w:bottom w:val="none" w:sz="0" w:space="0" w:color="auto"/>
            <w:right w:val="none" w:sz="0" w:space="0" w:color="auto"/>
          </w:divBdr>
        </w:div>
        <w:div w:id="1484085367">
          <w:marLeft w:val="547"/>
          <w:marRight w:val="0"/>
          <w:marTop w:val="0"/>
          <w:marBottom w:val="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A4BE4-6753-4A88-824F-BD5C62F0C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1897</Words>
  <Characters>10817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12689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ALU-CW</cp:lastModifiedBy>
  <cp:revision>2</cp:revision>
  <cp:lastPrinted>2015-01-26T10:07:00Z</cp:lastPrinted>
  <dcterms:created xsi:type="dcterms:W3CDTF">2015-04-10T20:20:00Z</dcterms:created>
  <dcterms:modified xsi:type="dcterms:W3CDTF">2015-04-10T20:20:00Z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-1932365986</vt:i4>
  </property>
  <property fmtid="{D5CDD505-2E9C-101B-9397-08002B2CF9AE}" pid="13" name="_EmailSubject">
    <vt:lpwstr>[27][R2-89b-int]measurements on LAA</vt:lpwstr>
  </property>
  <property fmtid="{D5CDD505-2E9C-101B-9397-08002B2CF9AE}" pid="14" name="_AuthorEmail">
    <vt:lpwstr>sigen.ye@alcatel-lucent.com</vt:lpwstr>
  </property>
  <property fmtid="{D5CDD505-2E9C-101B-9397-08002B2CF9AE}" pid="15" name="_AuthorEmailDisplayName">
    <vt:lpwstr>Ye, Sigen (Sigen)</vt:lpwstr>
  </property>
  <property fmtid="{D5CDD505-2E9C-101B-9397-08002B2CF9AE}" pid="16" name="_PreviousAdHocReviewCycleID">
    <vt:i4>1110141436</vt:i4>
  </property>
  <property fmtid="{D5CDD505-2E9C-101B-9397-08002B2CF9AE}" pid="17" name="_ReviewingToolsShownOnce">
    <vt:lpwstr/>
  </property>
</Properties>
</file>